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23535d8k.htm"/>
      <w:bookmarkStart w:id="1" w:name="ksd123535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July 20,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 xml:space="preserve">MASTEC,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815" w:type="dxa"/>
        <w:jc w:val="left"/>
        <w:tblInd w:w="0" w:type="dxa"/>
        <w:tblLayout w:type="fixed"/>
        <w:tblCellMar>
          <w:top w:w="0" w:type="dxa"/>
          <w:left w:w="0" w:type="dxa"/>
          <w:bottom w:w="0" w:type="dxa"/>
          <w:right w:w="0" w:type="dxa"/>
        </w:tblCellMar>
      </w:tblPr>
      <w:tblGrid>
        <w:gridCol w:w="2060"/>
        <w:gridCol w:w="60"/>
        <w:gridCol w:w="126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Florida</w:t>
            </w:r>
          </w:p>
        </w:tc>
        <w:tc>
          <w:tcPr>
            <w:tcW w:w="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center"/>
              <w:rPr>
                <w:b/>
              </w:rPr>
            </w:pPr>
            <w:r>
              <w:rPr>
                <w:b/>
              </w:rPr>
              <w:t>001-08106</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65-0829355</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 File</w:t>
            </w:r>
          </w:p>
          <w:p>
            <w:pPr>
              <w:pStyle w:val="TableContents"/>
              <w:bidi w:val="0"/>
              <w:spacing w:before="0" w:after="20"/>
              <w:jc w:val="center"/>
              <w:rPr>
                <w:rFonts w:ascii="Times New Roman" w:hAnsi="Times New Roman"/>
                <w:b/>
                <w:sz w:val="16"/>
              </w:rPr>
            </w:pPr>
            <w:r>
              <w:rPr>
                <w:rFonts w:ascii="Times New Roman" w:hAnsi="Times New Roman"/>
                <w:b/>
                <w:sz w:val="16"/>
              </w:rPr>
              <w:t>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160" w:after="0"/>
        <w:jc w:val="center"/>
        <w:rPr>
          <w:rFonts w:ascii="Times New Roman" w:hAnsi="Times New Roman"/>
          <w:b/>
          <w:sz w:val="20"/>
        </w:rPr>
      </w:pPr>
      <w:r>
        <w:rPr>
          <w:rFonts w:ascii="Times New Roman" w:hAnsi="Times New Roman"/>
          <w:b/>
          <w:sz w:val="20"/>
        </w:rPr>
        <w:t>800 S. Douglas Road, 12th Floor</w:t>
      </w:r>
    </w:p>
    <w:p>
      <w:pPr>
        <w:pStyle w:val="TextBody"/>
        <w:bidi w:val="0"/>
        <w:spacing w:before="0" w:after="0"/>
        <w:jc w:val="center"/>
        <w:rPr>
          <w:rFonts w:ascii="Times New Roman" w:hAnsi="Times New Roman"/>
          <w:b/>
          <w:sz w:val="20"/>
        </w:rPr>
      </w:pPr>
      <w:r>
        <w:rPr>
          <w:rFonts w:ascii="Times New Roman" w:hAnsi="Times New Roman"/>
          <w:b/>
          <w:sz w:val="20"/>
        </w:rPr>
        <w:t>Coral Gables, Florida 33134</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w:t>
      </w:r>
    </w:p>
    <w:p>
      <w:pPr>
        <w:pStyle w:val="TextBody"/>
        <w:bidi w:val="0"/>
        <w:spacing w:before="160" w:after="0"/>
        <w:jc w:val="center"/>
        <w:rPr>
          <w:rFonts w:ascii="Times New Roman" w:hAnsi="Times New Roman"/>
          <w:b/>
          <w:sz w:val="20"/>
        </w:rPr>
      </w:pPr>
      <w:r>
        <w:rPr>
          <w:rFonts w:ascii="Times New Roman" w:hAnsi="Times New Roman"/>
          <w:b/>
          <w:sz w:val="20"/>
        </w:rPr>
        <w:t>Registrant’s telephone number, including area code (305) 599-1800</w:t>
      </w:r>
    </w:p>
    <w:p>
      <w:pPr>
        <w:pStyle w:val="TextBody"/>
        <w:bidi w:val="0"/>
        <w:spacing w:before="0" w:after="0"/>
        <w:jc w:val="left"/>
        <w:rPr/>
      </w:pPr>
      <w:r>
        <w:rPr/>
        <w:t> </w:t>
      </w:r>
    </w:p>
    <w:p>
      <w:pPr>
        <w:pStyle w:val="TextBody"/>
        <w:bidi w:val="0"/>
        <w:spacing w:before="16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6675" w:type="dxa"/>
        <w:jc w:val="left"/>
        <w:tblInd w:w="0" w:type="dxa"/>
        <w:tblLayout w:type="fixed"/>
        <w:tblCellMar>
          <w:top w:w="0" w:type="dxa"/>
          <w:left w:w="0" w:type="dxa"/>
          <w:bottom w:w="0" w:type="dxa"/>
          <w:right w:w="0" w:type="dxa"/>
        </w:tblCellMar>
      </w:tblPr>
      <w:tblGrid>
        <w:gridCol w:w="3185"/>
        <w:gridCol w:w="60"/>
        <w:gridCol w:w="710"/>
        <w:gridCol w:w="60"/>
        <w:gridCol w:w="2660"/>
      </w:tblGrid>
      <w:tr>
        <w:trPr/>
        <w:tc>
          <w:tcPr>
            <w:tcW w:w="3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318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185" w:type="dxa"/>
            <w:tcBorders/>
            <w:vAlign w:val="center"/>
          </w:tcPr>
          <w:p>
            <w:pPr>
              <w:pStyle w:val="TableContents"/>
              <w:bidi w:val="0"/>
              <w:spacing w:before="0" w:after="283"/>
              <w:jc w:val="center"/>
              <w:rPr/>
            </w:pPr>
            <w:r>
              <w:rPr/>
              <w:t>Common Stock, $0.10 Par Value</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r>
              <w:rPr/>
              <w:t>MTZ</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60" w:after="0"/>
        <w:jc w:val="righ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934"/>
        <w:gridCol w:w="9271"/>
      </w:tblGrid>
      <w:tr>
        <w:trPr/>
        <w:tc>
          <w:tcPr>
            <w:tcW w:w="934" w:type="dxa"/>
            <w:tcBorders/>
            <w:vAlign w:val="center"/>
          </w:tcPr>
          <w:p>
            <w:pPr>
              <w:pStyle w:val="TableContents"/>
              <w:bidi w:val="0"/>
              <w:spacing w:before="0" w:after="283"/>
              <w:jc w:val="left"/>
              <w:rPr>
                <w:b/>
              </w:rPr>
            </w:pPr>
            <w:r>
              <w:rPr>
                <w:b/>
              </w:rPr>
              <w:t>Item 2.03</w:t>
            </w:r>
          </w:p>
        </w:tc>
        <w:tc>
          <w:tcPr>
            <w:tcW w:w="927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Creation of a Direct Financial Obligation or an Obligation under an Off-Balance Sheet Arrangement of a Registrant.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Borrowing Under MasTec New Term Loan Agreement </w:t>
      </w:r>
    </w:p>
    <w:p>
      <w:pPr>
        <w:pStyle w:val="TextBody"/>
        <w:bidi w:val="0"/>
        <w:spacing w:before="120" w:after="0"/>
        <w:jc w:val="left"/>
        <w:rPr>
          <w:rFonts w:ascii="Times New Roman" w:hAnsi="Times New Roman"/>
          <w:sz w:val="20"/>
        </w:rPr>
      </w:pPr>
      <w:r>
        <w:rPr>
          <w:rFonts w:ascii="Times New Roman" w:hAnsi="Times New Roman"/>
          <w:sz w:val="20"/>
        </w:rPr>
        <w:t>As previously reported, on July 7, 2026, MasTec, Inc. (the “</w:t>
      </w:r>
      <w:r>
        <w:rPr>
          <w:rFonts w:ascii="Times New Roman" w:hAnsi="Times New Roman"/>
          <w:sz w:val="20"/>
          <w:u w:val="single"/>
        </w:rPr>
        <w:t>Company</w:t>
      </w:r>
      <w:r>
        <w:rPr>
          <w:rFonts w:ascii="Times New Roman" w:hAnsi="Times New Roman"/>
          <w:sz w:val="20"/>
        </w:rPr>
        <w:t>”) and MasTec North America, Inc., a subsidiary of the Company (“</w:t>
      </w:r>
      <w:r>
        <w:rPr>
          <w:rFonts w:ascii="Times New Roman" w:hAnsi="Times New Roman"/>
          <w:sz w:val="20"/>
          <w:u w:val="single"/>
        </w:rPr>
        <w:t>MasTec North America</w:t>
      </w:r>
      <w:r>
        <w:rPr>
          <w:rFonts w:ascii="Times New Roman" w:hAnsi="Times New Roman"/>
          <w:sz w:val="20"/>
        </w:rPr>
        <w:t>”), entered into a new senior unsecured delayed draw term loan agreement (the “</w:t>
      </w:r>
      <w:r>
        <w:rPr>
          <w:rFonts w:ascii="Times New Roman" w:hAnsi="Times New Roman"/>
          <w:sz w:val="20"/>
          <w:u w:val="single"/>
        </w:rPr>
        <w:t>New Term Loan Agreement</w:t>
      </w:r>
      <w:r>
        <w:rPr>
          <w:rFonts w:ascii="Times New Roman" w:hAnsi="Times New Roman"/>
          <w:sz w:val="20"/>
        </w:rPr>
        <w:t>”) by and among the Company and MasTec North America, as borrowers, Bank of America, N.A., as Administrative Agent, and the other lenders party thereto, which provided for $700 million in delayed draw term loan commitments. On July 20, 2026, the Company borrowed the full $700 million in term loans available under the New Term Loan Agreement to finance a portion of the cash consideration for the Company’s acquisition of Electrical Specialists, Inc., d/b/a the Superior Group (the “</w:t>
      </w:r>
      <w:r>
        <w:rPr>
          <w:rFonts w:ascii="Times New Roman" w:hAnsi="Times New Roman"/>
          <w:sz w:val="20"/>
          <w:u w:val="single"/>
        </w:rPr>
        <w:t>Superior Group</w:t>
      </w:r>
      <w:r>
        <w:rPr>
          <w:rFonts w:ascii="Times New Roman" w:hAnsi="Times New Roman"/>
          <w:sz w:val="20"/>
        </w:rPr>
        <w:t xml:space="preserve">”) and fees and expenses incurred in connection therewith and related transactions. </w:t>
      </w:r>
    </w:p>
    <w:p>
      <w:pPr>
        <w:pStyle w:val="TextBody"/>
        <w:bidi w:val="0"/>
        <w:spacing w:before="240" w:after="0"/>
        <w:jc w:val="left"/>
        <w:rPr>
          <w:rFonts w:ascii="Times New Roman" w:hAnsi="Times New Roman"/>
          <w:sz w:val="20"/>
        </w:rPr>
      </w:pPr>
      <w:r>
        <w:rPr>
          <w:rFonts w:ascii="Times New Roman" w:hAnsi="Times New Roman"/>
          <w:sz w:val="20"/>
        </w:rPr>
        <w:t>The description of the New Term Loan Agreement contained in this Item 2.03 does not purport to be complete and is qualified in its entirety by reference to the New Term Loan Agreement. The New Term Loan Agreement was attached as Exhibit 10.1 to the Company’s Current Report on Form 8-K filed by the Company with the Securities and Exchange Commission (“</w:t>
      </w:r>
      <w:r>
        <w:rPr>
          <w:rFonts w:ascii="Times New Roman" w:hAnsi="Times New Roman"/>
          <w:sz w:val="20"/>
          <w:u w:val="single"/>
        </w:rPr>
        <w:t>SEC</w:t>
      </w:r>
      <w:r>
        <w:rPr>
          <w:rFonts w:ascii="Times New Roman" w:hAnsi="Times New Roman"/>
          <w:sz w:val="20"/>
        </w:rPr>
        <w:t xml:space="preserve">”) on July 7, 2026, the terms of which are incorporated by reference herein. </w:t>
      </w:r>
    </w:p>
    <w:p>
      <w:pPr>
        <w:pStyle w:val="TextBody"/>
        <w:bidi w:val="0"/>
        <w:spacing w:before="360" w:after="0"/>
        <w:jc w:val="left"/>
        <w:rPr>
          <w:rFonts w:ascii="Times New Roman" w:hAnsi="Times New Roman"/>
          <w:b/>
          <w:sz w:val="20"/>
        </w:rPr>
      </w:pPr>
      <w:r>
        <w:rPr>
          <w:rFonts w:ascii="Times New Roman" w:hAnsi="Times New Roman"/>
          <w:b/>
          <w:sz w:val="20"/>
        </w:rPr>
        <w:t xml:space="preserve">Borrowing Under MasTec Credit Facility </w:t>
      </w:r>
    </w:p>
    <w:p>
      <w:pPr>
        <w:pStyle w:val="TextBody"/>
        <w:bidi w:val="0"/>
        <w:spacing w:before="120" w:after="0"/>
        <w:jc w:val="left"/>
        <w:rPr>
          <w:rFonts w:ascii="Times New Roman" w:hAnsi="Times New Roman"/>
          <w:sz w:val="20"/>
        </w:rPr>
      </w:pPr>
      <w:r>
        <w:rPr>
          <w:rFonts w:ascii="Times New Roman" w:hAnsi="Times New Roman"/>
          <w:sz w:val="20"/>
        </w:rPr>
        <w:t xml:space="preserve">As previously reported, on July 7, 2026, the Company amended its existing amended and restated credit agreement, dated as of June 26, 2025 (as amended the “Credit Facility”) among the Company and MasTec North America, as borrowers, Bank of America, N.A., as Administrative Agent, Swing Line Lender and an L/C Issuer, and the other lenders party thereto. On July 20, 2026, the Company borrowed $600 million under the Credit Facility, approximately $580 million of which was used to finance a portion of the cash consideration (inclusive of approximately $105 million in acquired cash) for the Company’s acquisition of the Superior Group and fees and expenses incurred in connection therewith and related transactions, with the remainder used for other working capital purposes. </w:t>
      </w:r>
    </w:p>
    <w:p>
      <w:pPr>
        <w:pStyle w:val="TextBody"/>
        <w:bidi w:val="0"/>
        <w:spacing w:before="240" w:after="0"/>
        <w:jc w:val="left"/>
        <w:rPr>
          <w:rFonts w:ascii="Times New Roman" w:hAnsi="Times New Roman"/>
          <w:sz w:val="20"/>
        </w:rPr>
      </w:pPr>
      <w:r>
        <w:rPr>
          <w:rFonts w:ascii="Times New Roman" w:hAnsi="Times New Roman"/>
          <w:sz w:val="20"/>
        </w:rPr>
        <w:t xml:space="preserve">The description of the Credit Facility contained in this Item 2.03 does not purport to be complete and is qualified in its entirety by reference to the Credit Facility. The Credit Facility was attached as Exhibit 10.2 to the Company’s Current Report on Form 8-K filed by the Company with the SEC on July 7, 2026, the terms of which are incorporated by reference herein.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7943" w:type="dxa"/>
        <w:jc w:val="left"/>
        <w:tblInd w:w="0" w:type="dxa"/>
        <w:tblLayout w:type="fixed"/>
        <w:tblCellMar>
          <w:top w:w="0" w:type="dxa"/>
          <w:left w:w="0" w:type="dxa"/>
          <w:bottom w:w="0" w:type="dxa"/>
          <w:right w:w="0" w:type="dxa"/>
        </w:tblCellMar>
      </w:tblPr>
      <w:tblGrid>
        <w:gridCol w:w="1895"/>
        <w:gridCol w:w="60"/>
        <w:gridCol w:w="23"/>
        <w:gridCol w:w="60"/>
        <w:gridCol w:w="365"/>
        <w:gridCol w:w="60"/>
        <w:gridCol w:w="5480"/>
      </w:tblGrid>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80" w:type="dxa"/>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05" w:type="dxa"/>
            <w:gridSpan w:val="3"/>
            <w:tcBorders/>
            <w:vAlign w:val="center"/>
          </w:tcPr>
          <w:p>
            <w:pPr>
              <w:pStyle w:val="TableContents"/>
              <w:bidi w:val="0"/>
              <w:spacing w:before="0" w:after="283"/>
              <w:jc w:val="left"/>
              <w:rPr>
                <w:b/>
              </w:rPr>
            </w:pPr>
            <w:r>
              <w:rPr>
                <w:b/>
              </w:rPr>
              <w:t>MASTEC, INC.</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5540" w:type="dxa"/>
            <w:gridSpan w:val="2"/>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pPr>
            <w:r>
              <w:rPr/>
              <w:t>Date: July 20,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48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Alberto de Cardenas</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283"/>
              <w:jc w:val="left"/>
              <w:rPr/>
            </w:pPr>
            <w:r>
              <w:rPr/>
              <w:t>Alberto de Cardenas</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283"/>
              <w:jc w:val="left"/>
              <w:rPr/>
            </w:pPr>
            <w:r>
              <w:rPr/>
              <w:t>Executive Vice President, General Counsel and Secretary</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772</Words>
  <Characters>4124</Characters>
  <CharactersWithSpaces>4887</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