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MASTEC,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84"/>
        <w:spacing w:after="0"/>
        <w:rPr>
          <w:sz w:val="20"/>
          <w:szCs w:val="20"/>
          <w:color w:val="auto"/>
        </w:rPr>
      </w:pPr>
      <w:r>
        <w:rPr>
          <w:rFonts w:ascii="Times New Roman" w:cs="Times New Roman" w:eastAsia="Times New Roman" w:hAnsi="Times New Roman"/>
          <w:sz w:val="18"/>
          <w:szCs w:val="18"/>
          <w:b w:val="1"/>
          <w:bCs w:val="1"/>
          <w:color w:val="auto"/>
        </w:rPr>
        <w:t>Florida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001-08106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65-0829355</w:t>
      </w:r>
    </w:p>
    <w:p>
      <w:pPr>
        <w:spacing w:after="0" w:line="23"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74"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800 S. Douglas Road, 12th Floor</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Coral Gables, Florida 33134</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14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(305) 599-1800</w:t>
      </w:r>
    </w:p>
    <w:p>
      <w:pPr>
        <w:spacing w:after="0" w:line="194"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222250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p>
      <w:pPr>
        <w:spacing w:after="0" w:line="200" w:lineRule="exact"/>
        <w:rPr>
          <w:sz w:val="24"/>
          <w:szCs w:val="24"/>
          <w:color w:val="auto"/>
        </w:rPr>
      </w:pPr>
    </w:p>
    <w:p>
      <w:pPr>
        <w:spacing w:after="0" w:line="32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$0.10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MTZ</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3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MasTec,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held its Annual Meeting on May 21, 2026. The final voting results for each of the proposals submitted to a vote of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shareholders at the Annual Meeting are as follows: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1: Election of Ernst N. Csiszar, Julia L. Johnson and Jorge Mas as Class I directors to serve until the 2029 Annual Meeting of Shareholders.</w:t>
      </w:r>
    </w:p>
    <w:p>
      <w:pPr>
        <w:spacing w:after="0" w:line="233"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352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Votes</w:t>
            </w:r>
          </w:p>
        </w:tc>
        <w:tc>
          <w:tcPr>
            <w:tcW w:w="102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Votes</w:t>
            </w:r>
          </w:p>
        </w:tc>
        <w:tc>
          <w:tcPr>
            <w:tcW w:w="9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Broker</w:t>
            </w:r>
          </w:p>
        </w:tc>
      </w:tr>
      <w:tr>
        <w:trPr>
          <w:trHeight w:val="173"/>
        </w:trPr>
        <w:tc>
          <w:tcPr>
            <w:tcW w:w="3760" w:type="dxa"/>
            <w:vAlign w:val="bottom"/>
          </w:tcPr>
          <w:p>
            <w:pPr>
              <w:spacing w:after="0"/>
              <w:rPr>
                <w:sz w:val="15"/>
                <w:szCs w:val="15"/>
                <w:color w:val="auto"/>
              </w:rPr>
            </w:pPr>
          </w:p>
        </w:tc>
        <w:tc>
          <w:tcPr>
            <w:tcW w:w="352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“For”</w:t>
            </w:r>
          </w:p>
        </w:tc>
        <w:tc>
          <w:tcPr>
            <w:tcW w:w="102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9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Non-Votes</w:t>
            </w: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Ernst N. Csiszar</w:t>
            </w:r>
          </w:p>
        </w:tc>
        <w:tc>
          <w:tcPr>
            <w:tcW w:w="35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49,045,086</w:t>
            </w:r>
          </w:p>
        </w:tc>
        <w:tc>
          <w:tcPr>
            <w:tcW w:w="10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4,544,750</w:t>
            </w:r>
          </w:p>
        </w:tc>
        <w:tc>
          <w:tcPr>
            <w:tcW w:w="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4,403,928</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Julia L. Johnson</w:t>
            </w:r>
          </w:p>
        </w:tc>
        <w:tc>
          <w:tcPr>
            <w:tcW w:w="352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46,506,948</w:t>
            </w: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7,082,888</w:t>
            </w:r>
          </w:p>
        </w:tc>
        <w:tc>
          <w:tcPr>
            <w:tcW w:w="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4,403,928</w:t>
            </w: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Jorge Mas</w:t>
            </w:r>
          </w:p>
        </w:tc>
        <w:tc>
          <w:tcPr>
            <w:tcW w:w="35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49,473,243</w:t>
            </w:r>
          </w:p>
        </w:tc>
        <w:tc>
          <w:tcPr>
            <w:tcW w:w="10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4,116,593</w:t>
            </w:r>
          </w:p>
        </w:tc>
        <w:tc>
          <w:tcPr>
            <w:tcW w:w="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4,403,928</w:t>
            </w: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Proposal 2: Ratification of the appointment of Pricewaterhouse Coopers LLP as the Company’s independent registered public accounting firm for the 2026 fiscal year.</w:t>
      </w:r>
    </w:p>
    <w:p>
      <w:pPr>
        <w:spacing w:after="0" w:line="181"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2680" w:type="dxa"/>
            <w:vAlign w:val="bottom"/>
            <w:vMerge w:val="restart"/>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500" w:type="dxa"/>
            <w:vAlign w:val="bottom"/>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Votes</w:t>
            </w: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380" w:type="dxa"/>
            <w:vAlign w:val="bottom"/>
          </w:tcPr>
          <w:p>
            <w:pPr>
              <w:jc w:val="center"/>
              <w:ind w:left="662"/>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76"/>
        </w:trPr>
        <w:tc>
          <w:tcPr>
            <w:tcW w:w="2680" w:type="dxa"/>
            <w:vAlign w:val="bottom"/>
            <w:vMerge w:val="continue"/>
          </w:tcPr>
          <w:p>
            <w:pPr>
              <w:spacing w:after="0"/>
              <w:rPr>
                <w:sz w:val="15"/>
                <w:szCs w:val="15"/>
                <w:color w:val="auto"/>
              </w:rPr>
            </w:pPr>
          </w:p>
        </w:tc>
        <w:tc>
          <w:tcPr>
            <w:tcW w:w="2500" w:type="dxa"/>
            <w:vAlign w:val="bottom"/>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240" w:type="dxa"/>
            <w:vAlign w:val="bottom"/>
            <w:vMerge w:val="continue"/>
          </w:tcPr>
          <w:p>
            <w:pPr>
              <w:spacing w:after="0"/>
              <w:rPr>
                <w:sz w:val="15"/>
                <w:szCs w:val="15"/>
                <w:color w:val="auto"/>
              </w:rPr>
            </w:pPr>
          </w:p>
        </w:tc>
        <w:tc>
          <w:tcPr>
            <w:tcW w:w="1380" w:type="dxa"/>
            <w:vAlign w:val="bottom"/>
          </w:tcPr>
          <w:p>
            <w:pPr>
              <w:jc w:val="center"/>
              <w:ind w:left="682"/>
              <w:spacing w:after="0"/>
              <w:rPr>
                <w:sz w:val="20"/>
                <w:szCs w:val="20"/>
                <w:color w:val="auto"/>
              </w:rPr>
            </w:pPr>
            <w:r>
              <w:rPr>
                <w:rFonts w:ascii="Times New Roman" w:cs="Times New Roman" w:eastAsia="Times New Roman" w:hAnsi="Times New Roman"/>
                <w:sz w:val="14"/>
                <w:szCs w:val="14"/>
                <w:b w:val="1"/>
                <w:bCs w:val="1"/>
                <w:color w:val="auto"/>
                <w:w w:val="98"/>
              </w:rPr>
              <w:t>Non-Votes</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jc w:val="right"/>
              <w:ind w:right="1059"/>
              <w:spacing w:after="0"/>
              <w:rPr>
                <w:sz w:val="20"/>
                <w:szCs w:val="20"/>
                <w:color w:val="auto"/>
              </w:rPr>
            </w:pPr>
            <w:r>
              <w:rPr>
                <w:rFonts w:ascii="Times New Roman" w:cs="Times New Roman" w:eastAsia="Times New Roman" w:hAnsi="Times New Roman"/>
                <w:sz w:val="18"/>
                <w:szCs w:val="18"/>
                <w:color w:val="auto"/>
              </w:rPr>
              <w:t>57,930,704</w:t>
            </w:r>
          </w:p>
        </w:tc>
        <w:tc>
          <w:tcPr>
            <w:tcW w:w="2500" w:type="dxa"/>
            <w:vAlign w:val="bottom"/>
            <w:shd w:val="clear" w:color="auto" w:fill="CCEEFF"/>
          </w:tcPr>
          <w:p>
            <w:pPr>
              <w:jc w:val="center"/>
              <w:ind w:left="282"/>
              <w:spacing w:after="0"/>
              <w:rPr>
                <w:sz w:val="20"/>
                <w:szCs w:val="20"/>
                <w:color w:val="auto"/>
              </w:rPr>
            </w:pPr>
            <w:r>
              <w:rPr>
                <w:rFonts w:ascii="Times New Roman" w:cs="Times New Roman" w:eastAsia="Times New Roman" w:hAnsi="Times New Roman"/>
                <w:sz w:val="18"/>
                <w:szCs w:val="18"/>
                <w:color w:val="auto"/>
              </w:rPr>
              <w:t>21,113</w:t>
            </w:r>
          </w:p>
        </w:tc>
        <w:tc>
          <w:tcPr>
            <w:tcW w:w="224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41,947</w:t>
            </w:r>
          </w:p>
        </w:tc>
        <w:tc>
          <w:tcPr>
            <w:tcW w:w="1380" w:type="dxa"/>
            <w:vAlign w:val="bottom"/>
            <w:shd w:val="clear" w:color="auto" w:fill="CCEEFF"/>
          </w:tcPr>
          <w:p>
            <w:pPr>
              <w:jc w:val="center"/>
              <w:ind w:left="682"/>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3: Approval of a non-binding advisory resolution regarding the compensation of the Company’s named executive officers.</w:t>
      </w:r>
    </w:p>
    <w:p>
      <w:pPr>
        <w:spacing w:after="0" w:line="244"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2620" w:type="dxa"/>
            <w:vAlign w:val="bottom"/>
            <w:vMerge w:val="restart"/>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540" w:type="dxa"/>
            <w:vAlign w:val="bottom"/>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Votes</w:t>
            </w:r>
          </w:p>
        </w:tc>
        <w:tc>
          <w:tcPr>
            <w:tcW w:w="2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460" w:type="dxa"/>
            <w:vAlign w:val="bottom"/>
          </w:tcPr>
          <w:p>
            <w:pPr>
              <w:jc w:val="center"/>
              <w:ind w:left="662"/>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75"/>
        </w:trPr>
        <w:tc>
          <w:tcPr>
            <w:tcW w:w="2620" w:type="dxa"/>
            <w:vAlign w:val="bottom"/>
            <w:vMerge w:val="continue"/>
          </w:tcPr>
          <w:p>
            <w:pPr>
              <w:spacing w:after="0"/>
              <w:rPr>
                <w:sz w:val="15"/>
                <w:szCs w:val="15"/>
                <w:color w:val="auto"/>
              </w:rPr>
            </w:pPr>
          </w:p>
        </w:tc>
        <w:tc>
          <w:tcPr>
            <w:tcW w:w="2540" w:type="dxa"/>
            <w:vAlign w:val="bottom"/>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180" w:type="dxa"/>
            <w:vAlign w:val="bottom"/>
            <w:vMerge w:val="continue"/>
          </w:tcPr>
          <w:p>
            <w:pPr>
              <w:spacing w:after="0"/>
              <w:rPr>
                <w:sz w:val="15"/>
                <w:szCs w:val="15"/>
                <w:color w:val="auto"/>
              </w:rPr>
            </w:pPr>
          </w:p>
        </w:tc>
        <w:tc>
          <w:tcPr>
            <w:tcW w:w="1460" w:type="dxa"/>
            <w:vAlign w:val="bottom"/>
          </w:tcPr>
          <w:p>
            <w:pPr>
              <w:jc w:val="center"/>
              <w:ind w:left="662"/>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rPr>
              <w:t>49,678,324</w:t>
            </w:r>
          </w:p>
        </w:tc>
        <w:tc>
          <w:tcPr>
            <w:tcW w:w="2540" w:type="dxa"/>
            <w:vAlign w:val="bottom"/>
            <w:shd w:val="clear" w:color="auto" w:fill="CCEEFF"/>
          </w:tcPr>
          <w:p>
            <w:pPr>
              <w:jc w:val="center"/>
              <w:ind w:left="262"/>
              <w:spacing w:after="0"/>
              <w:rPr>
                <w:sz w:val="20"/>
                <w:szCs w:val="20"/>
                <w:color w:val="auto"/>
              </w:rPr>
            </w:pPr>
            <w:r>
              <w:rPr>
                <w:rFonts w:ascii="Times New Roman" w:cs="Times New Roman" w:eastAsia="Times New Roman" w:hAnsi="Times New Roman"/>
                <w:sz w:val="18"/>
                <w:szCs w:val="18"/>
                <w:color w:val="auto"/>
                <w:w w:val="99"/>
              </w:rPr>
              <w:t>3,820,263</w:t>
            </w:r>
          </w:p>
        </w:tc>
        <w:tc>
          <w:tcPr>
            <w:tcW w:w="218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91,249</w:t>
            </w:r>
          </w:p>
        </w:tc>
        <w:tc>
          <w:tcPr>
            <w:tcW w:w="1460" w:type="dxa"/>
            <w:vAlign w:val="bottom"/>
            <w:shd w:val="clear" w:color="auto" w:fill="CCEEFF"/>
          </w:tcPr>
          <w:p>
            <w:pPr>
              <w:jc w:val="center"/>
              <w:ind w:left="662"/>
              <w:spacing w:after="0"/>
              <w:rPr>
                <w:sz w:val="20"/>
                <w:szCs w:val="20"/>
                <w:color w:val="auto"/>
              </w:rPr>
            </w:pPr>
            <w:r>
              <w:rPr>
                <w:rFonts w:ascii="Times New Roman" w:cs="Times New Roman" w:eastAsia="Times New Roman" w:hAnsi="Times New Roman"/>
                <w:sz w:val="18"/>
                <w:szCs w:val="18"/>
                <w:color w:val="auto"/>
                <w:w w:val="99"/>
              </w:rPr>
              <w:t>4,403,928</w:t>
            </w:r>
          </w:p>
        </w:tc>
        <w:tc>
          <w:tcPr>
            <w:tcW w:w="0" w:type="dxa"/>
            <w:vAlign w:val="bottom"/>
          </w:tcPr>
          <w:p>
            <w:pPr>
              <w:spacing w:after="0"/>
              <w:rPr>
                <w:sz w:val="1"/>
                <w:szCs w:val="1"/>
                <w:color w:val="auto"/>
              </w:rPr>
            </w:pPr>
          </w:p>
        </w:tc>
      </w:tr>
    </w:tbl>
    <w:p>
      <w:pPr>
        <w:sectPr>
          <w:pgSz w:w="11900" w:h="16838" w:orient="portrait"/>
          <w:cols w:equalWidth="0" w:num="1">
            <w:col w:w="10760"/>
          </w:cols>
          <w:pgMar w:left="440" w:top="293" w:right="69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MASTEC,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May 22, 2026</w:t>
      </w:r>
      <w:r>
        <w:rPr>
          <w:sz w:val="20"/>
          <w:szCs w:val="20"/>
          <w:color w:val="auto"/>
        </w:rPr>
        <w:tab/>
      </w:r>
      <w:r>
        <w:rPr>
          <w:rFonts w:ascii="Times New Roman" w:cs="Times New Roman" w:eastAsia="Times New Roman" w:hAnsi="Times New Roman"/>
          <w:sz w:val="18"/>
          <w:szCs w:val="18"/>
          <w:color w:val="auto"/>
        </w:rPr>
        <w:t>By:</w:t>
        <w:tab/>
        <w:t>/s/ Alberto de Cardenas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Alberto de Cardenas</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p>
      <w:pPr>
        <w:spacing w:after="0" w:line="13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0320"/>
      </w:cols>
      <w:pgMar w:left="440" w:top="293"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2026-05-22T15:24:48Z</dcterms:created>
  <dcterms:modified xsi:type="dcterms:W3CDTF">2026-05-22T15:24:48Z</dcterms:modified>
</cp:coreProperties>
</file>