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 JORGE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S. DOUGLAS ROAD,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CORAL GABLES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MASTEC INC</w:t>
              </w:r>
            </w:hyperlink>
            <w:r>
              <w:rPr/>
              <w:t xml:space="preserve"> [ </w:t>
            </w:r>
            <w:r>
              <w:rPr>
                <w:rFonts w:ascii="Times;serif" w:hAnsi="Times;serif"/>
                <w:color w:val="0000FF"/>
                <w:sz w:val="24"/>
                <w:shd w:fill="FFFFFF" w:val="clear"/>
              </w:rPr>
              <w:t>MTZ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604" w:type="dxa"/>
        <w:jc w:val="left"/>
        <w:tblInd w:w="-7" w:type="dxa"/>
        <w:tblLayout w:type="fixed"/>
        <w:tblCellMar>
          <w:top w:w="60" w:type="dxa"/>
          <w:left w:w="60" w:type="dxa"/>
          <w:bottom w:w="60" w:type="dxa"/>
          <w:right w:w="60" w:type="dxa"/>
        </w:tblCellMar>
      </w:tblPr>
      <w:tblGrid>
        <w:gridCol w:w="1010"/>
        <w:gridCol w:w="861"/>
        <w:gridCol w:w="891"/>
        <w:gridCol w:w="771"/>
        <w:gridCol w:w="660"/>
        <w:gridCol w:w="231"/>
        <w:gridCol w:w="966"/>
        <w:gridCol w:w="966"/>
        <w:gridCol w:w="906"/>
        <w:gridCol w:w="801"/>
        <w:gridCol w:w="891"/>
        <w:gridCol w:w="1101"/>
        <w:gridCol w:w="801"/>
        <w:gridCol w:w="966"/>
        <w:gridCol w:w="831"/>
        <w:gridCol w:w="951"/>
      </w:tblGrid>
      <w:tr>
        <w:trPr>
          <w:tblHeader w:val="true"/>
        </w:trPr>
        <w:tc>
          <w:tcPr>
            <w:tcW w:w="136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Forward sale contract (potential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(1)(2)(3)(4)(5)</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1,099,335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1,099,335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10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Forward sale contract (potential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(1)(2)(3)(4)(5)</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1,099,335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1,099,335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1,099,335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previously reported, Jorge Mas Holdings I, LLC, a Florida limited liability company ("JM Holdings I"), which is controlled by Jorge Mas Holdings, LLC, a Florida limited liability company, of which the reporting person is the sole member, is party to a prepaid variable forward sale contract (as amended to date, the "Forward Sale Contract") with an unaffiliated third party buyer. JM Holdings I pledged an aggregate of 1,099,335 shares (the "Pledged Shares") of MasTec, Inc. common stock to secure its obligations under the Forward Sale Contract, and retained ownership and voting rights in the Pledged Shares during the term of the pledge.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10, 2026, JM Holdings I and the buyer entered into a fourth amendment to the Forward Sale Contract (as so further amended, the "Amended Agreement") to amend the Floor Price (as defined below) and the Cap Price (as defined below) for each Tranche 1 Component (as defined below), which were determined based on the volume weighted average price (the "VWAP") of MasTec, Inc.'s common stock for a specified period ended on August 11, 2026. The Amended Agreement provides for the settlement of the transaction, at JM Holdings I's option, in cash or shares of MasTec,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The Pledged Shares are divided into two tranches (each, a "Tranche") of 15 components each ("Tranche 1 Components" or "Tranche 2 Components"). The number of shares of MasTec, Inc. common stock to be potentially delivered to the buyer on the valuation date of each Tranche 1 Component or Tranche 2 Component (or on which to base the amount of cash to be delivered to the buyer on such valuation date), is to be determined as follows: (a) if the VWAP of MasTec, Inc. common stock on the valuation date for the applicable Tranche 1 Component or Tranche 2 Component (each, a "Valuation Price") is less than or equal to $246.5096 (the "Tranche 1 Floor Price") or $157.3441 (the "Tranche 2 Floor Price," and each of the Tranche 1 Floor Price and Tranche 2 Floor Price, a "Floor Price"), respectively, then JM Holdings I will deliver to the buyer all of the Pledged Shares for the applicable Tranche 1 Component or Tranche 2 Component;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(b) if such Valuation Price for the Tranche 1 Component or Tranche 2 Component is greater than the Tranche 1 Floor Price or Tranche 2 Floor Price, respectively, but less than or equal to $350.5914 (the "Tranche 1 Cap Price") or $243.0093 (the "Tranche 2 Cap Price," and each of the Tranche 1 Cap Price and Tranche 2 Cap Price, a "Cap Price"), respectively, then JM Holdings I will deliver to the buyer the number of shares equal to 100% of the Pledged Shares for the applicable Tranche 1 Component or Tranche 2 Component multiplied by the quotient of the applicable Floor Price divided by such Valuation Price; and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(Continued from Footnote 4) (c) if such Valuation Price for the Tranche 1 Component or Tranche 2 Component exceeds the Tranche 1 Cap Price or Tranche 2 Cap Price, respectively, then JM Holdings I will deliver to the buyer the number of shares equal to 100% of the Pledged Shares for the applicable component multiplied by the quotient of (x) the applicable Floor Price plus such excess divided by (y) such Valuation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component is exercisable on the same date as it expires, which date for each component, is between August 16, 2027 and September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owned of record by JM Holdings 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currently retains beneficial ownership of all shares of MasTec common stock that are subject to the Amended Agreement and rights related thereto, including all voting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Albert de Cardenas For: Jorge Mas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0559" TargetMode="External"/><Relationship Id="rId5" Type="http://schemas.openxmlformats.org/officeDocument/2006/relationships/hyperlink" Target="http://www.sec.gov/cgi-bin/browse-edgar?action=getcompany&amp;CIK=0000015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1223</Words>
  <Characters>6358</Characters>
  <CharactersWithSpaces>7489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