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7631d424b5.htm"/>
        <w:bookmarkStart w:id="1" w:name="ksd147631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and the accompanying prospectus relate to an effective registration statement under the Securities Act of 1933, as amended, but are not complete and may be changed. This preliminary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424(b)(5)</w:t>
        <w:br/>
        <w:t xml:space="preserve">Registration No. 333-285425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Supplement Dated August 6, 2026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PRELIMINARY PROSPECTUS SUPPLEMENT </w:t>
      </w:r>
    </w:p>
    <w:p>
      <w:pPr>
        <w:pStyle w:val="TextBody"/>
        <w:bidi w:val="0"/>
        <w:spacing w:before="0" w:after="0"/>
        <w:ind w:left="960" w:right="960" w:hanging="0"/>
        <w:jc w:val="left"/>
        <w:rPr>
          <w:rFonts w:ascii="Times New Roman" w:hAnsi="Times New Roman"/>
          <w:b/>
          <w:sz w:val="18"/>
        </w:rPr>
      </w:pPr>
      <w:r>
        <w:rPr>
          <w:rFonts w:ascii="Times New Roman" w:hAnsi="Times New Roman"/>
          <w:b/>
          <w:sz w:val="18"/>
        </w:rPr>
        <w:t xml:space="preserve">(To prospectus dated February 28, 2025) </w:t>
      </w:r>
    </w:p>
    <w:p>
      <w:pPr>
        <w:pStyle w:val="TextBody"/>
        <w:bidi w:val="0"/>
        <w:spacing w:before="120" w:after="0"/>
        <w:ind w:left="960" w:right="960" w:hanging="0"/>
        <w:jc w:val="center"/>
        <w:rPr>
          <w:rFonts w:ascii="Times New Roman" w:hAnsi="Times New Roman"/>
          <w:b/>
          <w:sz w:val="32"/>
        </w:rPr>
      </w:pPr>
      <w:r>
        <w:rPr>
          <w:rFonts w:ascii="Times New Roman" w:hAnsi="Times New Roman"/>
          <w:b/>
          <w:sz w:val="32"/>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578610" cy="2844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8610" cy="28448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4"/>
        </w:rPr>
      </w:pPr>
      <w:r>
        <w:rPr>
          <w:rFonts w:ascii="Times New Roman" w:hAnsi="Times New Roman"/>
          <w:b/>
          <w:sz w:val="44"/>
        </w:rPr>
        <w:t xml:space="preserve">MasTec, Inc. </w:t>
      </w:r>
    </w:p>
    <w:p>
      <w:pPr>
        <w:pStyle w:val="TextBody"/>
        <w:bidi w:val="0"/>
        <w:spacing w:before="120" w:after="0"/>
        <w:ind w:left="960" w:right="960" w:hanging="0"/>
        <w:jc w:val="center"/>
        <w:rPr/>
      </w:pPr>
      <w:r>
        <w:rPr/>
        <w:t>  </w:t>
      </w:r>
      <w:r>
        <w:rPr>
          <w:rFonts w:ascii="Times New Roman" w:hAnsi="Times New Roman"/>
          <w:b/>
          <w:sz w:val="24"/>
        </w:rPr>
        <w:t xml:space="preserve">% Senior Notes due 20 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are offering $     aggregate principal amount of our    % Senior Notes due 20   (the “notes”). The notes will mature on     , 20  . We will pay interest on the notes semi-annually in arrears on     and      of each year, commencing      , 2027.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notes will be general senior unsecured obligations of MasTec, Inc. (“MasTec”) and will rank equal in right of payment with all existing and future senior unsecured indebtedness of MasTec. The notes will be effectively subordinated to all secured indebtedness of MasTec, to the extent of the value of the assets securing such indebtedness. The notes will rank senior in right of payment to any future subordinated indebtedness of MasTec. The notes will not be guaranteed by any of MasTec’s subsidiaries and will therefore be structurally subordinated to all of the obligations of the subsidiaries of MasTec, including trade payables.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may redeem all or a portion of the notes at our option at any time or from time to time at the applicable redemption price in the circumstances described in this prospectus supplement. See “Description of Notes—Optional Redemption.”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will be required to offer to purchase the notes upon the occurrence of a Change of Control Triggering Event (as defined herein) at a price equal to 101% of the principal amount of the notes to be repurchased, plus accrued and unpaid interest, if any, to, but excluding, the date of purchase. See “Description of Notes—Purchase upon a Change of Control Triggering Event.”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4"/>
        </w:rPr>
        <w:t>Investing in the notes involves certain risks. See “</w:t>
      </w:r>
      <w:hyperlink w:anchor="supprom147631_7">
        <w:r>
          <w:rPr>
            <w:rStyle w:val="InternetLink"/>
            <w:rFonts w:ascii="Times New Roman" w:hAnsi="Times New Roman"/>
            <w:b/>
            <w:sz w:val="24"/>
          </w:rPr>
          <w:t>Risk Factors</w:t>
        </w:r>
      </w:hyperlink>
      <w:r>
        <w:rPr>
          <w:rFonts w:ascii="Times New Roman" w:hAnsi="Times New Roman"/>
          <w:b/>
          <w:sz w:val="24"/>
        </w:rPr>
        <w:t xml:space="preserve">” beginning on page S-6 of this prospectus supplement and on page 3 of the accompanying prospectus.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3867"/>
        <w:gridCol w:w="446"/>
        <w:gridCol w:w="212"/>
        <w:gridCol w:w="971"/>
        <w:gridCol w:w="339"/>
        <w:gridCol w:w="341"/>
        <w:gridCol w:w="173"/>
        <w:gridCol w:w="1329"/>
        <w:gridCol w:w="77"/>
      </w:tblGrid>
      <w:tr>
        <w:trPr/>
        <w:tc>
          <w:tcPr>
            <w:tcW w:w="3867"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867"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33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38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price(1)</w:t>
            </w:r>
          </w:p>
        </w:tc>
        <w:tc>
          <w:tcPr>
            <w:tcW w:w="44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3867"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w:t>
            </w:r>
          </w:p>
        </w:tc>
        <w:tc>
          <w:tcPr>
            <w:tcW w:w="44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386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us(1)</w:t>
            </w:r>
          </w:p>
        </w:tc>
        <w:tc>
          <w:tcPr>
            <w:tcW w:w="44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 2026. </w:t>
            </w:r>
          </w:p>
        </w:tc>
      </w:tr>
    </w:tbl>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securities exchange or for inclusion of the notes on any automated dealer quotation system. We expect that delivery of the notes, in book-entry form only through the facilities of The Depository Trust Company for the accounts of its participants, including Euroclear Bank SA/NV, as operator of the Euroclear System, and Clearstream Banking, S.A., will be made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3674"/>
        <w:gridCol w:w="101"/>
        <w:gridCol w:w="3164"/>
        <w:gridCol w:w="102"/>
        <w:gridCol w:w="3164"/>
      </w:tblGrid>
      <w:tr>
        <w:trPr/>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bidi w:val="0"/>
              <w:spacing w:before="0" w:after="283"/>
              <w:jc w:val="left"/>
              <w:rPr>
                <w:b/>
              </w:rPr>
            </w:pPr>
            <w:r>
              <w:rPr>
                <w:b/>
              </w:rPr>
              <w:t>PNC Capital Markets LLC</w:t>
            </w:r>
          </w:p>
        </w:tc>
        <w:tc>
          <w:tcPr>
            <w:tcW w:w="101"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left"/>
              <w:rPr>
                <w:b/>
              </w:rPr>
            </w:pPr>
            <w:r>
              <w:rPr>
                <w:b/>
              </w:rPr>
              <w:t>Truist Securities</w:t>
            </w:r>
          </w:p>
        </w:tc>
        <w:tc>
          <w:tcPr>
            <w:tcW w:w="102"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center"/>
              <w:rPr>
                <w:b/>
              </w:rPr>
            </w:pPr>
            <w:r>
              <w:rPr>
                <w:b/>
              </w:rPr>
              <w:t>Wells Fargo Securities</w:t>
            </w:r>
          </w:p>
        </w:tc>
      </w:tr>
      <w:tr>
        <w:trPr>
          <w:trHeight w:val="120" w:hRule="atLeast"/>
        </w:trPr>
        <w:tc>
          <w:tcPr>
            <w:tcW w:w="3674" w:type="dxa"/>
            <w:tcBorders/>
            <w:vAlign w:val="center"/>
          </w:tcPr>
          <w:p>
            <w:pPr>
              <w:pStyle w:val="TableContents"/>
              <w:bidi w:val="0"/>
              <w:spacing w:before="0" w:after="283"/>
              <w:jc w:val="left"/>
              <w:rPr>
                <w:sz w:val="4"/>
                <w:szCs w:val="4"/>
              </w:rPr>
            </w:pPr>
            <w:r>
              <w:rPr>
                <w:sz w:val="4"/>
                <w:szCs w:val="4"/>
              </w:rPr>
            </w:r>
          </w:p>
        </w:tc>
        <w:tc>
          <w:tcPr>
            <w:tcW w:w="3265" w:type="dxa"/>
            <w:gridSpan w:val="2"/>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center"/>
              <w:rPr>
                <w:b/>
              </w:rPr>
            </w:pPr>
            <w:r>
              <w:rPr>
                <w:b/>
              </w:rPr>
              <w:t>J.P. Morgan</w:t>
            </w:r>
          </w:p>
        </w:tc>
      </w:tr>
    </w:tbl>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Neither we nor the underwriters have authorized anyone to provide you with any information other than the information contained in, or incorporated by reference in, this prospectus supplement, the accompanying prospectus and any free writing prospectus prepared by or on behalf of us. We and the underwriters take no responsibility for, and can provide no assurance as to the reliability of, any other information that others may give you. This prospectus supplement may be used only for the purpose for which it has been prepared. </w:t>
      </w:r>
    </w:p>
    <w:p>
      <w:pPr>
        <w:pStyle w:val="TextBody"/>
        <w:bidi w:val="0"/>
        <w:spacing w:before="120" w:after="0"/>
        <w:jc w:val="left"/>
        <w:rPr>
          <w:rFonts w:ascii="Times New Roman" w:hAnsi="Times New Roman"/>
          <w:b/>
          <w:sz w:val="20"/>
        </w:rPr>
      </w:pPr>
      <w:r>
        <w:rPr>
          <w:rFonts w:ascii="Times New Roman" w:hAnsi="Times New Roman"/>
          <w:b/>
          <w:sz w:val="20"/>
        </w:rPr>
        <w:t xml:space="preserve">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is accurate as of any date other than the date of the applicable document. Our business, financial condition, results of operations and prospects may have changed since the relevant date. Neither this prospectus supplement nor the accompanying prospectus constitutes an offer or an invitation on our behalf or on behalf of the underwriters to subscribe for or purchase any of the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business day following the date of this prospectus supplement (such settlement being referred to as “T+ ”). Under Rule 15c6-1 under the Securities Exchange Act of 1934, as amended (the “Exchange Act”), trades in the secondary market are required to settle in one business day, unless the parties to any such trade expressly agree otherwise. Accordingly, purchasers who wish to trade notes prior to the first business day preceding the delivery of the notes hereunder will be required, by virtue of the fact that the notes initially settle in T+ , to specify an alternate settlement arrangement at the time of any such trade to prevent a failed settlement. Purchasers of the notes who wish to trade the notes prior to the first business day preceding the date of delivery hereunder should consult their advisors.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147631_3">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4">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5">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6">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9">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0">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1">
              <w:r>
                <w:rPr>
                  <w:rStyle w:val="InternetLink"/>
                  <w:rFonts w:ascii="Times New Roman" w:hAnsi="Times New Roman"/>
                  <w:sz w:val="20"/>
                </w:rPr>
                <w:t>CERTAIN U.S. FEDERAL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2">
              <w:r>
                <w:rPr>
                  <w:rStyle w:val="InternetLink"/>
                  <w:rFonts w:ascii="Times New Roman" w:hAnsi="Times New Roman"/>
                  <w:sz w:val="20"/>
                </w:rPr>
                <w:t>CERTAIN ERISA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3">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4">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47631_15">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47631_1">
              <w:r>
                <w:rPr>
                  <w:rStyle w:val="InternetLink"/>
                  <w:rFonts w:ascii="Times New Roman" w:hAnsi="Times New Roman"/>
                  <w:sz w:val="20"/>
                </w:rPr>
                <w:t>IMPORTANT INFORMATION 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2">
              <w:r>
                <w:rPr>
                  <w:rStyle w:val="InternetLink"/>
                  <w:rFonts w:ascii="Times New Roman" w:hAnsi="Times New Roman"/>
                  <w:sz w:val="20"/>
                </w:rPr>
                <w:t>FORWARD-LOOKING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4">
              <w:r>
                <w:rPr>
                  <w:rStyle w:val="InternetLink"/>
                  <w:rFonts w:ascii="Times New Roman" w:hAnsi="Times New Roman"/>
                  <w:sz w:val="20"/>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6">
              <w:r>
                <w:rPr>
                  <w:rStyle w:val="InternetLink"/>
                  <w:rFonts w:ascii="Times New Roman" w:hAnsi="Times New Roman"/>
                  <w:sz w:val="20"/>
                </w:rPr>
                <w:t>DESCRIPTION OF COMMON AND PREFERRED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7">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9">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0">
              <w:r>
                <w:rPr>
                  <w:rStyle w:val="InternetLink"/>
                  <w:rFonts w:ascii="Times New Roman" w:hAnsi="Times New Roman"/>
                  <w:sz w:val="20"/>
                </w:rPr>
                <w:t>DESCRIPTION OF STOCK PURCHASE CONTRACTS AND STOCK PURCHASE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1">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5">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7631_16">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47631_3"/>
      <w:bookmarkEnd w:id="3"/>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relating to expectations regarding the future financial and operational performance of MasTec; expectations regarding MasTec’s business or financial outlook; expectations regarding MasTec’s plans, strategies and opportunities; expectations regarding opportunities, technological developments, competitive positioning, future economic conditions and other trends in particular markets or industries; the impact of inflation on MasTec’s costs and the ability to recover increased costs, as well as other statements reflecting expectations, intentions, assumptions or beliefs about future events and other statements that do not relate strictly to historical or current facts. These statements are based on currently available operating, financial, economic and other information, and are subject to a number of significant risks and uncertainties. A variety of factors in addition to those mentioned above, many of which are beyond our control, could cause actual future results to differ materially from those projected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Other factors that might cause such a difference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governmental programs and spending policies, changes to the amounts provided for under the Infrastructure Investment and Jobs Act and/or Inflation Reduction Act, including the potential for reduced support for renewable energy projects, such as a result of the One Big Beautiful Bill Act, changes in U.S. or foreign tax laws, statutes, rules, regulations or ordinances;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 and trade actions, including retaliatory trade actions, by the United States and/or other countries on U.S. exports or bans by foreign countries on certain of their exports;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 delays due to permitting processes, compliance with environmental and other regulatory requirements and challenges to the granting of project permits, which could cause increased costs and delayed or reduced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on demand for our services of changes in the amount of capital expenditures by our customers due to, among other things, economic conditions, including potential economic downturns,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inflationary issues, tariff effects, the availability and cost of financing, supply chain disruptions, climate-related matters, customer consolidation in the industries we serve and/or the effects of public health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our plans for future operations, growth and services, including business development efforts, backlog, acquisitions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key management and skilled employees, including from acquired businesses, our ability to enforce any noncompetition agreements, and our ability to maintain a workforce based upon current and anticipated workloads;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changes in estimates for legal costs or case settlements or adverse determinations on any claim, lawsuit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insurance, legal and other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climate and weather events, such as the risk of wildfires, that increase operational and legal risks in certain locations where we perform services, could increase the potential liability and related costs associated with such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regulatory initiatives, including risks related to, and the costs of compliance with, existing and potential future sustainability requirements, including with respect to climate-related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extent of fluctuations in operational, geographic and weather factors, including from climate-related events, that affect our customers, projects and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of and restrictions imposed by our credit facility, term loans, senior notes and any future loans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and information technology interruptions and/or data security breaches that could adversely affect our ability to operate, our operating results, our data security or our reputation, or other cybersecurity-related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a limited number of customers and our ability to replace non-recurring projects with new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potential environmental issues and other hazards from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or failures of, our subcontractors to deliver agreed-upon supplies or services in a timely fashion, and the risk of being required to pay our subcontractors even if our customers do not pay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strategic arrangements, including our equity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volatility of our stock price or any dilution or stock price volatility that shareholders may experience, including as a result of shares we may issue as purchase consideration in connection with acquisitions, or as a result of other stock issuances;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performance and surety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our operations that employ a unionized workforce, including labor availability, productivity and relations, as well as risks associated with multiemployer union pension plans, including underfunding and withdrawal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 small number of our existing shareholders having the ability to influence major corporate decisions;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referenced in this prospectus supplement and the accompanying prospectus, including, without limitation, those set forth under “Risk Factors” beginning on page S-6 of this prospectus supplement and on page 3 of the accompanying prospectus, and the other factors described in the documents incorporated by reference herein and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our filings with the Securities and Exchange Commission (the “SEC”). We do not undertake any obligation to publicly update or revise these forward-looking statements after the date of this prospectus supplement to reflect future events or circumstances, except as required by applicable law. We qualify any and all of our forward-looking statements by these cautionary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147631_4"/>
      <w:bookmarkEnd w:id="4"/>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we are offering. You should read this prospectus supplement along with the accompanying prospectus, as well as the documents incorporated by reference. 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except under the headings “Description of Notes” and “Summary—The Offering” in this prospectus supplement, references to “MasTec,” “we,” “us,” and “our” refer to MasTec, Inc. and its consolidated subsidiaries, unless the context indicates otherwise. References to the “Issuer” refer to MasTec, Inc. and not its consolidated subsidiaries, unless the context indicates otherwise. References to the “Senior Credit Facility” refer to our senior unsecured credit facility that was comprised of $1.9 billion of revolving commitments as of June 30, 2026, and which was subsequently amended on July 7, 2026 to increase the revolving commitments to $2.25 billion (the “Senior Credit Facility Upsize Amendment”). The Senior Credit Facility matures on June 26, 2030. References to the “2025 Term Loan Facility” refer to our senior unsecured term loan agreement that is comprised of a term loan of $600.0 million in aggregate principal amount and which matures on June 26, 2028. References to the “2026 Term Loan Facility” refer to our senior unsecured term loan agreement totaling $700.0 million in term loans, comprised of $400.0 million in principal amount of three-year loans maturing on July 20, 2029 and $300.0 million in principal amount of four-year loans maturing on July 20, 2030. References to “4.500% Notes” refer to the $600.0 million aggregate principal amount of our 4.500% Senior Notes due August 15, 2028. References to “5.900% Notes” refer to the $550.0 million aggregate principal amount of our 5.900% Senior Notes due June 15, 2029. References to “6.625% Notes” refer to the $74.9 million aggregate principal amount of our 6.625% Senior Notes due August 15, 2029. References to the “Existing Notes” refer, collectively, to the 4.500% Notes, the 5.900% Notes and the 6.625%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147631_5"/>
      <w:bookmarkEnd w:id="5"/>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some of the documents we file with it into this prospectus supplement,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disclose important information to you by referring you to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incorporated by reference is considered to be part of this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later information that we file with the SEC will automatically update and supersede this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w:t>
            </w:r>
            <w:hyperlink r:id="rId3">
              <w:r>
                <w:rPr>
                  <w:rStyle w:val="InternetLink"/>
                  <w:rFonts w:ascii="Times New Roman" w:hAnsi="Times New Roman"/>
                  <w:sz w:val="20"/>
                </w:rPr>
                <w:t>December  31, 2025</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(the “Q2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May  22, 2026</w:t>
              </w:r>
            </w:hyperlink>
            <w:r>
              <w:rPr>
                <w:rFonts w:ascii="Times New Roman" w:hAnsi="Times New Roman"/>
                <w:sz w:val="20"/>
              </w:rPr>
              <w:t xml:space="preserve">, </w:t>
            </w:r>
            <w:hyperlink r:id="rId7">
              <w:r>
                <w:rPr>
                  <w:rStyle w:val="InternetLink"/>
                  <w:rFonts w:ascii="Times New Roman" w:hAnsi="Times New Roman"/>
                  <w:sz w:val="20"/>
                </w:rPr>
                <w:t>July  7, 2026</w:t>
              </w:r>
            </w:hyperlink>
            <w:r>
              <w:rPr>
                <w:rFonts w:ascii="Times New Roman" w:hAnsi="Times New Roman"/>
                <w:sz w:val="20"/>
              </w:rPr>
              <w:t xml:space="preserve">, </w:t>
            </w:r>
            <w:hyperlink r:id="rId8">
              <w:r>
                <w:rPr>
                  <w:rStyle w:val="InternetLink"/>
                  <w:rFonts w:ascii="Times New Roman" w:hAnsi="Times New Roman"/>
                  <w:sz w:val="20"/>
                </w:rPr>
                <w:t>July  20, 2026</w:t>
              </w:r>
            </w:hyperlink>
            <w:r>
              <w:rPr>
                <w:rFonts w:ascii="Times New Roman" w:hAnsi="Times New Roman"/>
                <w:sz w:val="20"/>
              </w:rPr>
              <w:t xml:space="preserve"> and </w:t>
            </w:r>
            <w:hyperlink r:id="rId9">
              <w:r>
                <w:rPr>
                  <w:rStyle w:val="InternetLink"/>
                  <w:rFonts w:ascii="Times New Roman" w:hAnsi="Times New Roman"/>
                  <w:sz w:val="20"/>
                </w:rPr>
                <w:t>July 30, 2026</w:t>
              </w:r>
            </w:hyperlink>
            <w:r>
              <w:rPr>
                <w:rFonts w:ascii="Times New Roman" w:hAnsi="Times New Roman"/>
                <w:sz w:val="20"/>
              </w:rPr>
              <w:t xml:space="preserve"> (Item 5.02 only);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those portions of our </w:t>
            </w:r>
            <w:hyperlink r:id="rId10">
              <w:r>
                <w:rPr>
                  <w:rStyle w:val="InternetLink"/>
                  <w:rFonts w:ascii="Times New Roman" w:hAnsi="Times New Roman"/>
                  <w:sz w:val="20"/>
                </w:rPr>
                <w:t>Definitive Proxy Statement on Schedule 14A</w:t>
              </w:r>
            </w:hyperlink>
            <w:r>
              <w:rPr>
                <w:rFonts w:ascii="Times New Roman" w:hAnsi="Times New Roman"/>
                <w:sz w:val="20"/>
              </w:rPr>
              <w:t xml:space="preserve"> and </w:t>
            </w:r>
            <w:hyperlink r:id="rId11">
              <w:r>
                <w:rPr>
                  <w:rStyle w:val="InternetLink"/>
                  <w:rFonts w:ascii="Times New Roman" w:hAnsi="Times New Roman"/>
                  <w:sz w:val="20"/>
                </w:rPr>
                <w:t>Definitive Additional Proxy Soliciting Materials on Schedule 14A</w:t>
              </w:r>
            </w:hyperlink>
            <w:r>
              <w:rPr>
                <w:rFonts w:ascii="Times New Roman" w:hAnsi="Times New Roman"/>
                <w:sz w:val="20"/>
              </w:rPr>
              <w:t xml:space="preserve"> filed with the SEC on April 9, 2026, which documents are specifically incorporated by reference into the 2025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the offering, will be deemed to be incorporated herein by reference and to be a part of this prospectus supplement from the date of filing of such documents. Any statement contained in a document incorporated herein by reference will be deemed to be modified or superseded for purposes of this prospectus supplement to the extent that a statement contained herein, or in a subsequently filed document incorporated herein by reference, modifies or supersedes the statement. Any statement modified or superseded will not be deemed, except as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information that has been incorporated by reference in this prospectus supplement but not delivered with this prospectus supplement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800 S. Douglas Road, 12th Floor </w:t>
      </w:r>
    </w:p>
    <w:p>
      <w:pPr>
        <w:pStyle w:val="TextBody"/>
        <w:bidi w:val="0"/>
        <w:spacing w:before="0" w:after="0"/>
        <w:jc w:val="center"/>
        <w:rPr>
          <w:rFonts w:ascii="Times New Roman" w:hAnsi="Times New Roman"/>
          <w:sz w:val="20"/>
        </w:rPr>
      </w:pPr>
      <w:r>
        <w:rPr>
          <w:rFonts w:ascii="Times New Roman" w:hAnsi="Times New Roman"/>
          <w:sz w:val="20"/>
        </w:rPr>
        <w:t xml:space="preserve">Coral Gables, Florida 33134 </w:t>
      </w:r>
    </w:p>
    <w:p>
      <w:pPr>
        <w:pStyle w:val="TextBody"/>
        <w:bidi w:val="0"/>
        <w:spacing w:before="0" w:after="0"/>
        <w:jc w:val="center"/>
        <w:rPr>
          <w:rFonts w:ascii="Times New Roman" w:hAnsi="Times New Roman"/>
          <w:sz w:val="20"/>
        </w:rPr>
      </w:pPr>
      <w:r>
        <w:rPr>
          <w:rFonts w:ascii="Times New Roman" w:hAnsi="Times New Roman"/>
          <w:sz w:val="20"/>
        </w:rPr>
        <w:t xml:space="preserve">Attention: Alberto de Cardenas </w:t>
      </w:r>
    </w:p>
    <w:p>
      <w:pPr>
        <w:pStyle w:val="TextBody"/>
        <w:bidi w:val="0"/>
        <w:spacing w:before="0" w:after="0"/>
        <w:jc w:val="center"/>
        <w:rPr>
          <w:rFonts w:ascii="Times New Roman" w:hAnsi="Times New Roman"/>
          <w:sz w:val="20"/>
        </w:rPr>
      </w:pPr>
      <w:r>
        <w:rPr>
          <w:rFonts w:ascii="Times New Roman" w:hAnsi="Times New Roman"/>
          <w:sz w:val="20"/>
        </w:rPr>
        <w:t xml:space="preserve">(305) 599-1800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rom147631_6"/>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contained elsewhere or incorporated by reference in this prospectus supplement and the accompanying prospectus. Because this is only a summary, it does not contain all of the information that is important to you. You should read this entire prospectus supplement and accompanying prospectus, as well as the documents incorporated by reference herein, including the risk factors and the financial statements and related notes included elsewhere herein and therein, before making a decision with respect to an investment in the notes. We also urge you to read our public filings with the SEC, as they provide additional information that you may find important.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MasTec,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Our customers are primarily in these industries. Including our predecessor companies, we have been in business for over 95 years. As of June 30, 2026, we had approximately 37,000 employees and 780 locations. We offer our services under the MasTec® and other service marks and we have been consistently ranked among the top specialty contractors within Engineering News-Record’s Top 400 Contractors.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MasTec’s common stock is listed on the New York Stock Exchange under the symbol “MTZ.” MasTec maintains its principal executive and management office at 800 S. Douglas Road, 12th Floor, Coral Gables, Florida, 33134, and its telephone number is (305) 599-1800. MasTec’s website address is www.mastec.com. MasTec does not intend for information contained on or accessible through its website to be part of this prospectus supplement or the accompanying prospectus, other than documents that MasTec files with the SEC that are specifically incorporated by reference in this prospectus supplement or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20, 2026, MasTec acquired (the “Acquisition”) Electrical Specialists, Inc., d/b/a the Superior Group (the “Superior Group”) pursuant to a Share Purchase Agreement, dated July 7, 2026, among MasTec, the Superior Group, Stewshi Co., Inc., as the seller, and the shareholders and shareholder representative named therein. Also on July 20, 2026, MasTec borrowed (i) the full $700 million in term loans available under the 2026 Term Loan Facility to finance a portion of the cash consideration for the Acquisition and fees and expenses incurred in connection therewith and related transactions and (ii) $600 million under the Senior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approximately $580 million of which was used to finance a portion of the cash consideration (inclusive of approximately $105 million in acquired cash) for the Acquisition and fees and expenses incurred in connection therewith and related transactions, with the remainder used for other working capital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Superior Group is a premier full-service electrical contractor focused on critical infrastructure. The Superior Group is a recognized leader in building data center infrastructure and also serves a diverse set of end markets including healthcare, entertainment and industrial. We expect the acquisition of Superior Group to enable us to provide integrated solutions across the full data center lifecycle and to better position us to respond to demand for electrical infrastructure driven by data centers, rising power density, grid constraints, electrification and reshoring. At the time of the Acquisition, Superior Group had approximately 3,000 employees, the substantial majority of whom are skilled electricians and technicians.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notes and is not intended to be complete. It does not contain all the information that is important to you. For a more complete understanding of the notes, see “Description of Notes” in this prospectus supplement and “Description of Debt Securities” in the accompanying prospectus. Capitalized terms not otherwise defined herein shall have the same meanings given to them in the “Description of Notes” section of this prospectus supplement. In the following summary, all references to “MasTec,” “we,” “us” and “our” refer only to MasTec, Inc. and not to any of its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MasTec, Inc., a Florida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Securities Offered </w:t>
            </w:r>
          </w:p>
        </w:tc>
        <w:tc>
          <w:tcPr>
            <w:tcW w:w="6328" w:type="dxa"/>
            <w:tcBorders/>
          </w:tcPr>
          <w:p>
            <w:pPr>
              <w:pStyle w:val="TableContents"/>
              <w:bidi w:val="0"/>
              <w:spacing w:before="0" w:after="283"/>
              <w:jc w:val="left"/>
              <w:rPr/>
            </w:pPr>
            <w:r>
              <w:rPr/>
              <w:t xml:space="preserve">$  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6330" w:type="dxa"/>
            <w:tcBorders/>
          </w:tcPr>
          <w:p>
            <w:pPr>
              <w:pStyle w:val="TableContents"/>
              <w:bidi w:val="0"/>
              <w:spacing w:before="0" w:after="283"/>
              <w:jc w:val="left"/>
              <w:rPr/>
            </w:pPr>
            <w:r>
              <w:rPr/>
              <w:t>   </w:t>
            </w:r>
            <w:r>
              <w:rPr/>
              <w:t xml:space="preserv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Rate </w:t>
            </w:r>
          </w:p>
        </w:tc>
        <w:tc>
          <w:tcPr>
            <w:tcW w:w="6329" w:type="dxa"/>
            <w:tcBorders/>
          </w:tcPr>
          <w:p>
            <w:pPr>
              <w:pStyle w:val="TableContents"/>
              <w:bidi w:val="0"/>
              <w:spacing w:before="0" w:after="283"/>
              <w:jc w:val="left"/>
              <w:rPr/>
            </w:pPr>
            <w:r>
              <w:rPr/>
              <w:t xml:space="preserve">The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9" w:type="dxa"/>
            <w:tcBorders/>
          </w:tcPr>
          <w:p>
            <w:pPr>
              <w:pStyle w:val="TableContents"/>
              <w:bidi w:val="0"/>
              <w:spacing w:before="0" w:after="283"/>
              <w:jc w:val="left"/>
              <w:rPr/>
            </w:pPr>
            <w:r>
              <w:rPr/>
              <w:t xml:space="preserve">The notes will bear interest from    , 2026, payable semi-annually in arrears on     and     of each year, commencing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w:t>
            </w:r>
          </w:p>
        </w:tc>
        <w:tc>
          <w:tcPr>
            <w:tcW w:w="6327" w:type="dxa"/>
            <w:tcBorders/>
          </w:tcPr>
          <w:p>
            <w:pPr>
              <w:pStyle w:val="TableContents"/>
              <w:bidi w:val="0"/>
              <w:spacing w:before="0" w:after="283"/>
              <w:jc w:val="left"/>
              <w:rPr/>
            </w:pPr>
            <w:r>
              <w:rPr/>
              <w:t xml:space="preserve">The notes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general senior unsecured obligations of MasTec;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existing and future senior unsecured indebtedness of MasTec;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future subordinated indebtedness of MasTec;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all secured indebtedness of MasTec, to the extent of the value of the assets securing such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all of the liabilities of the subsidiaries of MasTec, including trade payables.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As of June 30, 2026, on an as adjusted basis after giving effect to (i) this offering and the application of the net proceeds therefrom, (ii) borrowings under the 2026 Term Loan Facility and Senior Credit Facility in connection with the Acquisition, (iii) approximately $105.0 million of cash acquired in the Acquisition and (iv) the Senior Credit Facility Upsize Amendment, (A) we would have had approximately $     of outstanding debt, including the notes, of which $454.4 million would have been secured and that would have ranked effectively senior to the notes to the extent of the assets securing such debt, and we would have had approximately $1,138.5 million of undrawn borrowing capacity under our revolving credit facility under the Senior Credit Facility (after giving effect to approximately $55.8 million of outstanding letters of credit) that would rank equally with the notes if borrowed and (B) our subsidiaries would have had approximately $4.0 billion of total liabilities outstanding (including trade payables) to which the notes would have been structurally subordinated.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7" w:type="dxa"/>
            <w:tcBorders/>
          </w:tcPr>
          <w:p>
            <w:pPr>
              <w:pStyle w:val="TableContents"/>
              <w:bidi w:val="0"/>
              <w:spacing w:before="0" w:after="283"/>
              <w:jc w:val="left"/>
              <w:rPr/>
            </w:pPr>
            <w:r>
              <w:rPr/>
              <w:t xml:space="preserve">Prior to    , 20   (   months prior to maturity), we may redeem the notes at our option, in whole or in part, at any time and from time to time, at the applicable make-whole premium redemption price described under “Description of Notes—Optional Redemption.” On and after    , 20   (   months prior to maturity), we may redeem the notes at our option, in whole or in part, at any time and from time to time, at a redemption price equal to 100% of the principal amount of the notes being redeemed, plus any accrued and unpaid interest on the notes being redeemed to, but excluding,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Guarantees </w:t>
            </w:r>
          </w:p>
        </w:tc>
        <w:tc>
          <w:tcPr>
            <w:tcW w:w="6328" w:type="dxa"/>
            <w:tcBorders/>
          </w:tcPr>
          <w:p>
            <w:pPr>
              <w:pStyle w:val="TableContents"/>
              <w:bidi w:val="0"/>
              <w:spacing w:before="0" w:after="283"/>
              <w:jc w:val="left"/>
              <w:rPr/>
            </w:pPr>
            <w:r>
              <w:rPr/>
              <w:t xml:space="preserve">The notes will not be guaranteed by any of MasTec’s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Covenants </w:t>
            </w:r>
          </w:p>
        </w:tc>
        <w:tc>
          <w:tcPr>
            <w:tcW w:w="6327" w:type="dxa"/>
            <w:tcBorders/>
          </w:tcPr>
          <w:p>
            <w:pPr>
              <w:pStyle w:val="TableContents"/>
              <w:bidi w:val="0"/>
              <w:spacing w:before="0" w:after="283"/>
              <w:jc w:val="left"/>
              <w:rPr/>
            </w:pPr>
            <w:r>
              <w:rPr/>
              <w:t xml:space="preserve">The indenture and related supplemental indenture governing the notes contain covenants limiting our and our Restricted Subsidiaries’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securing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or merge with, or convey, transfer or lease all or substantially all our assets to, another person.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However, each of these covenants is subject to a number of significant exceptions. You should read “Description of Notes—Certain Covenants” for more information regarding these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Change of Control Triggering Event </w:t>
            </w:r>
          </w:p>
        </w:tc>
        <w:tc>
          <w:tcPr>
            <w:tcW w:w="6328" w:type="dxa"/>
            <w:tcBorders/>
          </w:tcPr>
          <w:p>
            <w:pPr>
              <w:pStyle w:val="TableContents"/>
              <w:bidi w:val="0"/>
              <w:spacing w:before="0" w:after="283"/>
              <w:jc w:val="left"/>
              <w:rPr/>
            </w:pPr>
            <w:r>
              <w:rPr/>
              <w:t xml:space="preserve">If a Change of Control Triggering Event (as defined in “Description of Notes—Purchase upon a Change of Control Triggering Event”) occurs, except to the extent we have exercised our right to redeem all of the notes, you will have the right to require us to purchase all or any portion of your notes at a purchase price equal to 101% of the principal amount, plus accrued and unpaid interest, if any, to, but excluding, the purchase date. See “Description of Notes—Purchase upon a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Form and Denomination of Notes </w:t>
            </w:r>
          </w:p>
        </w:tc>
        <w:tc>
          <w:tcPr>
            <w:tcW w:w="6327" w:type="dxa"/>
            <w:tcBorders/>
          </w:tcPr>
          <w:p>
            <w:pPr>
              <w:pStyle w:val="TableContents"/>
              <w:bidi w:val="0"/>
              <w:spacing w:before="0" w:after="283"/>
              <w:jc w:val="left"/>
              <w:rPr/>
            </w:pPr>
            <w:r>
              <w:rPr/>
              <w:t xml:space="preserve">The notes will be issued in fully registered form and will be represented by global certificates which will be deposited with, or on behalf of, The Depository Trust Company or its nominee. The notes will be issued in minimum denominations of $2,000 and integral multiples of $1,000 in excess thereof. See “Description of Notes—Principal Amount and Maturity” and “Description of Notes—Book-Entry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Absence of Established Market for Notes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a new issue of securities for which there is no established market. Accordingly, there can be no assurance that a market for the notes will develop or as to the liquidity of any market that may develop. Certain of the underwriters have advised us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they currently intend to make a market in the notes. However, they are not obligated to do so, and any market making with respect to the notes may be discontinued without notice.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We do not intend to apply for listing of the notes on any securities exchange or for inclusion of the notes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estimate that our net proceeds from the issuance and sale of the notes will be approximately $     after deducting underwriters’ discounts and estimated offering expenses payable by us. We intend to use the net proceeds from this offering to repay some or all of the term loans outstanding under our 2025 Term Loan Facility and to pay related fees and expenses. We intend to use any remaining net proceeds thereafter for general corporate purposes, which may include the repayment of existing indebtedness, including borrowings under the Senior Credit Facility.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Conflicts of Interest </w:t>
            </w:r>
          </w:p>
        </w:tc>
        <w:tc>
          <w:tcPr>
            <w:tcW w:w="6327" w:type="dxa"/>
            <w:tcBorders/>
          </w:tcPr>
          <w:p>
            <w:pPr>
              <w:pStyle w:val="TableContents"/>
              <w:bidi w:val="0"/>
              <w:spacing w:before="0" w:after="283"/>
              <w:jc w:val="left"/>
              <w:rPr/>
            </w:pPr>
            <w:r>
              <w:rPr/>
              <w:t xml:space="preserve">Certain of the underwriters or their respective affiliates are lenders under our 2025 Term Loan Facility and/or our Senior Credit Facility. As a result, such underwriters or such affiliates of the underwriters may receive a portion of the proceeds from this offering to the extent such proceeds are used to repay borrowings under our 2025 Term Loan Facility or our Senior Credit Facility. See “Use of Proceeds.” Accordingly, this offering is being made in compliance with the requirements of FINRA Rule 5121. Because the notes to be offered will be rated investment grade, pursuant to Rule 5121, the appointment of a qualified independent underwriter is not necessary. Underwriters subject to Rule 5121 will not confirm sales of the notes to any account over which they exercise discretionary authority without the prior written approval of the customer.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6328" w:type="dxa"/>
            <w:tcBorders/>
          </w:tcPr>
          <w:p>
            <w:pPr>
              <w:pStyle w:val="TableContents"/>
              <w:bidi w:val="0"/>
              <w:spacing w:before="0" w:after="283"/>
              <w:jc w:val="left"/>
              <w:rPr/>
            </w:pPr>
            <w:r>
              <w:rPr/>
              <w:t xml:space="preserve">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Investing in the notes involves certain risks. See “</w:t>
            </w:r>
            <w:hyperlink w:anchor="tx147631_3">
              <w:r>
                <w:rPr>
                  <w:rStyle w:val="InternetLink"/>
                </w:rPr>
                <w:t>Risk Factors</w:t>
              </w:r>
            </w:hyperlink>
            <w:r>
              <w:rPr/>
              <w:t xml:space="preserve">” beginning on page S-6 of this prospectus supplement and on page 3 of the accompanying prospectus for a description of certain risks you should consider before investing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47631_7"/>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each of the following risks, the risks discussed under the heading “Risk Factors” in the accompanying prospectus and all of the information set forth or incorporated by reference in this prospectus supplement and the accompanying prospectus, including the risks described in our 2025 Annual Report in Item 1A. “Risk Factors,” and any other documents we file with the SEC that are incorporated by reference in this prospectus supplement and the accompanying prospectus before investing in the notes. Additional risks and uncertainties not currently known to us or that we currently deem to be immaterial may also materially and aversely affect our business operations. Any of the following risk factors or any of those incorporated by reference herein could materially adversely affect our business, financial condition or results of operations. In such case, you may lose all or part of your original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significant amount of debt, which may increase as a result of this offering. Our substantial indebtedness could adversely affect our business, financial condition and results of operations and our ability to meet our payment obligations under the notes and our other debt.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debt and substantial debt service requirements. As of June 30, 2026, on an as adjusted basis after giving effect to (i) this offering and the application of the net proceeds therefrom, (ii) borrowings under the 2026 Term Loan Facility and the Senior Credit Facility in connection with the Acquisition, (iii) approximately $105.0 million of cash acquired in the Acquisition and (iv) the Senior Credit Facility Upsize Amendment, we would have had approximately $     of outstanding debt, of which $454.4 million would have been secured and that would have ranked effectively senior to the notes to the extent of the assets securing such debt, and we would have had approximately $1,138.5 million of undrawn borrowing capacity under the revolving credit facility under the Senior Credit Facility (after giving effect to approximately $55.8 million of outstanding letters of credit) that would rank equally with the notes if borrowed. This level of debt could have significant consequences on our future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meet our payment and other obligations under the notes and our other outstanding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in an event of default if we fail to comply with the financial and other restrictive covenants contained in our debt agreements, which event of default could result in all of our debt becoming immediately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availability of our cash flows to fund working capital, capital expenditures, acquisitions or strategic investments, dividends and other general corporate purposes, and limiting our ability to obtain additional financing for these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subjecting us to the risk of increasing interest expense on variable rate indebtedness, including borrowings under our Senior Credit Facility, 2025 Term Loan Facility and 2026 Term Loan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and increasing our vulnerability to, changes in our business, the industry in which we operate and the general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pursue business opportunities that become available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our competitors that have less debt or are less leveraged.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above-listed factors could have an adverse effect on our business, financial condition and results of operations and our ability to meet our payment obligations under the notes and our other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operations to pay our indebtedness.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cash in order to make scheduled payments of the principal of, to pay interest on or to refinance our indebtedness, including the notes, depends on our future performance, which is subject to economic, financial, competitive, legislative, regulatory and other factors beyond our control. In addition, our ability to borrow funds in the future to make payments on our debt will depend on the satisfaction of the covenants in our Senior Credit Facility, 2025 Term Loan Facility, 2026 Term Loan Facility and our other financing agreements, including the indenture and related supplemental indenture governing the notes, and other agreements we may enter into in the future. Specifically, under our Senior Credit Facility, our 2025 Term Loan Facility and our 2026 Term Loan Facility, we will need to maintain certain financial ratios. Our business may not continue to generate sufficient cash flow from operations in the future, and future borrowings may not be available to us under our Senior Credit Facility or from other sources in an amount sufficient to service our indebtedness, including the notes, to make necessary capital expenditures or to fund our other liquidity needs. If we are unable to generate cash from our operations or through borrowings, we may be required to adopt one or more alternatives, such as selling assets, restructuring debt or obtaining additional equity capital on terms that may be onerous or highly unfavorable. We may not be able to engage in any of these activities or engage in these activities on desirable terms, which could result in a default on our debt obligations, including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additional indebtedness, including debt ranking effectively senior to the notes, which could further exacerbate the risks associated with our substantial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restrictions in our existing and future debt agreements, we and our subsidiaries may be able to incur additional indebtedness, including secured debt ranking effectively senior to the notes, in the future. In addition, the indentures governing the Existing Notes do not, and the indenture and related supplemental indenture governing the notes will not, contain restrictions on the incurrence of additional unsecured debt. Although our existing debt agreements, including the Senior Credit Facility, the 2025 Term Loan Facility and 2026 Term Loan Facility, contain restrictions on the incurrence of additional unsecured and secured debt, these restrictions are subject to a number of significant qualifications and exceptions, and any additional debt incurred could be substantial. In particular, the agreement governing the Senior Credit Facility provides for the ability, on a non-committed basis, to increase the revolving commitments thereunder as long as such increases are otherwise made in compliance with the Senior Credit Facility. If new debt is added to our and our subsidiaries’ existing debt levels, the related risks we now face would increase. If we incur any additional debt that ranks equally with the notes, the holders thereof will be entitled to share ratably with you in any proceeds distributed in connection with our insolvency, liquidation, reorganization, dissolution or other winding up. This may have the effect of reducing the amount of such distributed proceeds paid to you. These restrictions also will not prevent us from incurring obligations that do not constitute debt. Any such incurrence of additional debt may increase the risks created by our current substantial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effectively subordinated to all existing and future secured indebtedness of us and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secured by any of our assets or the assets of our subsidiaries. As a result, the notes will be effectively subordinated to any secured debt we or our subsidiaries may incur to the extent of the value of the assets securing such debt. As of June 30, 2026, on an as adjusted basis after giving effect to (i) this offering and the application of the net proceeds therefrom, (ii) borrowings under the 2026 Term Loan Facility and the Senior Credit Facility in connection with the Acquisition, (iii) approximately $105.0 million of cash acquired in the Acquisition and (iv) the Senior Credit Facility Upsize Amendment, we would have had approximately $454.4 million of secured indebtedness outstanding. In any liquidation, dissolution, bankruptcy or other similar proceeding, holders of our secured debt may assert rights against any assets securing such debt in order to receive full payment of their debt before those assets may be used to pay the holders of the notes. To the extent that such assets cannot satisfy in full our secured debt, the holders of such secured debt would have a claim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shortfall that would rank equally in right of payment with the notes. In such an event, we may not have sufficient assets remaining to pay amounts due on any or all of the notes. If new secured indebtedness is added to our current debt levels, the related risks we could face would be magnified.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all existing and future obligations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guaranteed by any of our subsidiaries. Consequently, the notes will be structurally subordinated to any debt and other liabilities of our subsidiaries, including trade payables, and the claims of creditors of our subsidiaries will have priority as to the assets and cash flows of our subsidiaries. Because the notes will not be guaranteed by our subsidiaries, noteholders will not have direct access to the assets of our subsidiaries unless these assets are transferred by dividend or otherwise to us. The ability of our subsidiaries to pay dividends or otherwise transfer assets to us is subject to various restrictions under applicable law and may also be subject to existing or future contractual restrictions. As of June 30, 2026, our subsidiaries would have had approximately $4.0 billion of total liabilities (including trade payables)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holding company, and we may not have access to the cash flow and other assets of its subsidiaries that may be needed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we conduct substantially all of our operations through our subsidiaries. Consequently, we do not have any income from operations and do not expect to generate income from operations in the future. As a result, our ability to meet our debt service obligations, including our obligations under the notes, substantially depends upon our subsidiaries’ earnings, cash flows and business operations and payment of funds to us by our subsidiaries in the form of dividends, loans, advances or other payments. In addition, the payment of dividends or the making of loans, advances or other payments to us may be subject to regulatory or contractual restrictions. Our right to receive any assets of any of our subsidiaries upon their liquidation or reorganization, and therefore the right of the holders of the notes to participate in the profits or a distribution of those assets, will be structurally subordinated to the claims of that subsidiary’s creditors, including trade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agreements governing our debt, including our existing Senior Credit Facility, 2025 Term Loan Facility and 2026 Term Loan Facility and the indentures governing our Existing Notes, contain various covenants that impose restrictions on us that may affect our ability to operate our business and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governing our existing debt impose, and future financing agreements may impose, operating and financial restrictions on our activities. These restrictions require us to comply with or maintain certain financial tests and ratios and limit our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acquisitions, mergers or consolidations or the sale of all or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restrictions on our ability to operate our business could seriously harm our business by, among other things, limiting our ability to take advantage of financing, merger and acquisition, tax and other corporate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Various risks, uncertainties and events beyond our control could affect our ability to comply with these covenants and maintain these financial tests and ratios. Failure to comply with any of the covenants in our existing or future financing agreements could result in a default under those agreements and under other agreements containing cross-default provisions. A default could permit lenders to accelerate the maturity for the debt under these agreements and to foreclose upon any collateral securing the debt. Under these circumstances, we might not have sufficient funds or other resources to satisfy all of our obligations, including our obligations under the notes. In addition, the limitations imposed by financing agreements on our ability to incur additional debt and to take other actions might significantly impair our ability to obtain other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limited covenants in the indenture and related supplemental indenture governing the notes may not provide protection against some events or developments that may affect the trading prices for the notes or our ability to repay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related supplemental indenture governing the notes do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financial ratios or specific levels of net worth, revenues, income, cash flow or liquidity and, accordingly, do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subsidiaries’ ability to incur indebtedness or other obligations that would rank structurally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our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in right of payment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and the related supplemental indenture only limit our and our Restricted Subsidiaries’ ability to incur liens securing debt to the extent such liens are on any Principal Property or any shares of stock of or any indebtedness of any Restricted Subsidiary, and only limit our and our Restricted Subsidiaries’ ability to enter into Sale/Leaseback Transactions with respect to Principal Property. As of the date of this prospectus supplement, neither we nor any of our subsidiaries own any Principal Property. Furthermore, none of our joint ventures are subject to the restrictive covenants in the notes or in the indenture and related supplemental indenture governing the notes. For these reasons, you should not consider the covenants in the indenture and related supplemental indenture governing the notes as a significant factor in evaluating whether to invest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purchase the outstanding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(as defined in “Description of Notes—Purchase upon a Change of Control Triggering Event”), unless we have exercised our right to redeem all of the outstanding notes as described under “Description of Notes—Optional Redemption,” each holder of the notes will have the right to require us to purchase all or any part of such holder’s outstanding notes at a price equal to 101% of their principal amount, plus accrued and unpaid interest, if any, to, but excluding, the date of purchase. If we experience a Change of Control Triggering Event, there can be no assurance that we would have sufficient financial resources available to satisfy our obligations to purchase the notes. In addition, our ability to purchase the notes for cash may be limited by the terms of other agreements relating to our indebtedness outstanding at the time. Our failure to purchase the notes as required under the terms of the notes would result in a default under the notes, which could have material adverse consequences for us and the holders of the notes. See “Description of Notes—Purchase upon a Change of Control Triggering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debt currently has an investment grade credit rating, but there can be no assurance that any rating assigned by the rating agencies will remain for any given period of time or that a rating will not be lowered or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entirely by a rating agency if warranted, in that rating agency’s judgment, by future circumstances relating to the basis of the rating, such as adverse changes in our business, the economy or financial markets, among others. The rating agencies also evaluate our industry as a whole and may change their ratings for us based on their overall view of our industry. A negative change in our ratings could have an adverse effect on the price of the notes and may increase our future borrowing costs and reduce access to capital, which could have a materially adverse impact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notes may not develop or be sustained.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the listing of the notes on any securities exchange or for quotation of the notes on any automated dealer quotation system. Although certain of the underwriters have advised us that they presently intend to make a market in the notes after completion of the offering as permitted by applicable law, they have no obligation to do so, and such market-making activities may be discontinued at any time without notice. In addition, the liquidity of the trading market of the notes and the market price quoted for the notes may be adversely affected by changes in the overall market for securities and by changes in our financial performance or prospects or the financial performance or prospects of companies in our industry. We cannot assure the liquidity of the trading markets for the notes or that active public trading markets for the notes will develop or be sustained. If active public trading markets for the notes are not developed or sustained, the market prices and liquidity of the notes may be adversely affected and holders of the notes may experience difficulty in reselling, or an inability to sell, the notes. You may not be able to resell your notes at their fair market value or at all. If a trading market develops for the notes, future trading prices of the notes will depend on many factors, including, among other things, prevailing interest rates, our operating results, the liquidity of the market for the notes, the market for similar securities and other factors, including our financial condition and prospects and the financial condition and prospects for companies in our industry. Any such trading market for the notes may be discontinued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prices of the notes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prices of the notes will depend on many factors,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ratings of our debt securities assigned by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until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 of the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market interest rates increase, the market value of the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may adversely affect your return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may redeem all or a portion of the notes at our option at any time or from time to time at the applicable redemption price in the circumstances described in this prospectus supplement. Any such redemption may occur prior to maturity. If we redeem the notes in such circumstances, you may not be able to reinvest the redemption proceeds in securities offering a comparable yield. See “Description of Notes—Optional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default on our obligations to pay our indebtedness, we may not be able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If there is any default under the agreements governing our indebtedness, including the Senior Credit Facility, the 2025 Term Loan Facility, the 2026 Term Loan Facility, the 4.500% Notes, the 5.900% Notes or the 6.625%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that is not waived by the required lenders or noteholders, the remedies sought by the holders of such indebtedness could result in our being unable to pay principal, premium, if any, and interest on the notes, which could cause a substantial decrease in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if any; the lenders under our credit facilities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our credit facilities to avoid being in default. If such waivers were not obtained, we would be in default under our credit facilities, the lenders could exercise their rights, as described above, and we could be forced into bankruptcy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47631_8"/>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net proceeds from the issuance and sale of the notes will be approximately $     after deducting underwriters’ discounts and estimated offering expenses payable by us. We intend to use the net proceeds from this offering to repay some or all of the term loans outstanding under our 2025 Term Loan Facility and to pay related fees and expenses. We intend to use any remaining net proceeds thereafter for general corporate purposes, which may include the repayment of existing indebtedness, including borrowings under the Senior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our 2025 Term Loan Facility accrued interest at a weighted average annual rate of approximately 4.77%, and matures on June 26, 2028. As of June 30, 2026, our Senior Credit Facility accrued interest at a weighted average annual rate of approximately 4.78%, and matures on June 26, 2030.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respective affiliates are lenders under our 2025 Term Loan Facility and/or our Senior Credit Facility. As a result, such underwriters or such affiliates of the underwriters may receive a portion of the proceeds from this offering to the extent such proceeds are used to repay borrowings under our 2025 Term Loan Facility or our Senior Credit Facility. See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47631_9"/>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cash and cash equivalents and our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(i) borrowings under the 2026 Term Loan Facility and the Senior Credit Facility in connection with the Acquisition, (ii) approximately $105.0 million of cash acquired in the Acquisition and (iii) the Senior Credit Facility Upsize Amendment;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further adjusted basis to give effect to the issuance and sale of the notes offered hereby and the application of the net proceeds therefrom.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section “Use of Proceeds,” you should read the data set forth in the table below in conjunction with “Management’s Discussion and Analysis of Financial Condition and Results of Operations” and our historical consolidated financial statements and related notes included in the 2025 Annual Report and the Q2 Quarterly Report, each of which is incorporated by reference in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39"/>
        <w:gridCol w:w="349"/>
        <w:gridCol w:w="140"/>
        <w:gridCol w:w="791"/>
        <w:gridCol w:w="60"/>
        <w:gridCol w:w="349"/>
        <w:gridCol w:w="181"/>
        <w:gridCol w:w="1045"/>
        <w:gridCol w:w="60"/>
        <w:gridCol w:w="349"/>
        <w:gridCol w:w="167"/>
        <w:gridCol w:w="975"/>
        <w:gridCol w:w="67"/>
      </w:tblGrid>
      <w:tr>
        <w:trPr/>
        <w:tc>
          <w:tcPr>
            <w:tcW w:w="403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9" w:type="dxa"/>
            <w:vMerge w:val="restart"/>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411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7" w:type="dxa"/>
            <w:tcBorders/>
            <w:vAlign w:val="bottom"/>
          </w:tcPr>
          <w:p>
            <w:pPr>
              <w:pStyle w:val="TableContents"/>
              <w:bidi w:val="0"/>
              <w:spacing w:before="0" w:after="283"/>
              <w:jc w:val="left"/>
              <w:rPr/>
            </w:pPr>
            <w:r>
              <w:rPr/>
              <w:t> </w:t>
            </w:r>
          </w:p>
        </w:tc>
      </w:tr>
      <w:tr>
        <w:trPr/>
        <w:tc>
          <w:tcPr>
            <w:tcW w:w="4039" w:type="dxa"/>
            <w:vMerge w:val="continue"/>
            <w:tcBorders/>
            <w:vAlign w:val="bottom"/>
          </w:tcPr>
          <w:p>
            <w:pPr>
              <w:pStyle w:val="Normal"/>
              <w:bidi w:val="0"/>
              <w:jc w:val="left"/>
              <w:rPr/>
            </w:pPr>
            <w:r>
              <w:rPr/>
            </w:r>
          </w:p>
        </w:tc>
        <w:tc>
          <w:tcPr>
            <w:tcW w:w="349"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adjusted(e)</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adjusted(f)</w:t>
            </w:r>
          </w:p>
        </w:tc>
        <w:tc>
          <w:tcPr>
            <w:tcW w:w="67" w:type="dxa"/>
            <w:tcBorders/>
            <w:vAlign w:val="bottom"/>
          </w:tcPr>
          <w:p>
            <w:pPr>
              <w:pStyle w:val="TableContents"/>
              <w:bidi w:val="0"/>
              <w:spacing w:before="0" w:after="283"/>
              <w:jc w:val="left"/>
              <w:rPr/>
            </w:pPr>
            <w:r>
              <w:rPr/>
              <w:t> </w:t>
            </w:r>
          </w:p>
        </w:tc>
      </w:tr>
      <w:tr>
        <w:trPr/>
        <w:tc>
          <w:tcPr>
            <w:tcW w:w="4039" w:type="dxa"/>
            <w:vMerge w:val="continue"/>
            <w:tcBorders/>
            <w:vAlign w:val="bottom"/>
          </w:tcPr>
          <w:p>
            <w:pPr>
              <w:pStyle w:val="Normal"/>
              <w:bidi w:val="0"/>
              <w:jc w:val="left"/>
              <w:rPr/>
            </w:pPr>
            <w:r>
              <w:rPr/>
            </w:r>
          </w:p>
        </w:tc>
        <w:tc>
          <w:tcPr>
            <w:tcW w:w="349"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center"/>
              <w:rPr>
                <w:b/>
              </w:rPr>
            </w:pPr>
            <w:r>
              <w:rPr>
                <w:b/>
              </w:rPr>
              <w:t>(in millions)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315.6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420.6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Senior Credit Facility(a):</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loans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475.8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1,055.8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2025 Term Loan Facility</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Term Loan Facility</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4.500% Notes(b)</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6.625% Notes(c)</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74.9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74.9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5.900% Notes(d)</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Senior notes due 20   offered hereby</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and other obligations</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454.4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454.4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 obligations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2,755.1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4,035.1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6,355.1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7,635.1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on an actual basis, we had approximately $1,368.5 million of undrawn borrowing capacity under our revolving credit facility under the Senior Credit Facility (after giving effect to approximately $55.8 million of outstanding letters of credit). On an as adjusted basis, we would have had approximately $1,138.5 million of undrawn borrowing capacity under our revolving credit facility under the Senior Credit Facility (after giving effect to approximately $55.8 million of outstanding letters of credit). On an as further adjusted basis, we would have had approximately $1,138.5 million of undrawn borrowing capacity under our revolving credit facility under the Senior Credit Facility (after giving effect to approximately $55.8 million of outstanding letters of credit).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aggregate principal amount. As of June 30, 2026, the aggregate carrying amount of the 4.500% Notes totaled $600.0 million.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aggregate principal amount. As of June 30, 2026, the aggregate carrying amount of the 6.625% Notes totaled $72.7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aggregate principal amount. As of June 30, 2026, the aggregate carrying amount of the 5.900% Notes totaled $550.0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adjusted” column gives effect to (i) borrowings under the 2026 Term Loan Facility and the Senior Credit Facility in connection with the Acquisition, (ii) approximately $105.0 million of cash acquired in the Acquisition and (iii) the Senior Credit Facility Upsize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further adjusted” column assumes that the net proceeds from this offering are used to repay some or all of the term loans outstanding under our 2025 Term Loan Facility and related fees and expenses. We intend to use any remaining net proceeds thereafter for general corporate purposes, which may include the repayment of existing indebtedness, including borrowings under the Senior Credit Facility. See “Use of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47631_10"/>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particular terms of the notes offered hereby (referred to in the accompanying prospectus as “debt securities”) supplements and, to the extent inconsistent therewith, supersedes the description of the general terms and provisions of debt securities set forth in the accompanying prospectus. Capitalized terms not otherwise defined herein shall have the meanings given to them in the accompanying prospectus. In this description, all references to the “Company,” “we,” “us” and “our” refer only to MasTec, Inc. and not to any of its subsidiaries. Unless otherwise indicated or unless the context requires otherwise, references to the “indenture” governing the notes refer to the base indenture (as defined below) as supplemented by the supplemental indenture (as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under the indenture, dated as of June 5, 2009 (the “base indenture”), between the Company and U.S. Bank Trust Company, National Association, as trustee (the “Trustee”), as to be supplemented and amended by the twenty-second supplemental indenture, to be dated as of the Issue Date (the “supplemental indenture”),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is subject to, and is governed by, the Trust Indenture Act of 1939, as amended (the “Trust Indenture Act”), and the terms of the notes include those made part of the indenture by reference to the Trust Indenture Act. The following description and the description in the accompanying prospectus do not purport to be complete and are subject, and qualified in their entirety by reference, to the Trust Indenture Act and all the provisions of the notes and the indenture. We urge you to read the indenture because it, and not this description, defines your rights as a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Amount and Maturity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$    aggregate principal amount of senior notes due 20    (the “notes”). The notes will mature on    , 20 .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notice to or consent of the holders or beneficial owners of the notes, from time to time issue in separate offerings additional notes in an unlimited amount having the same ranking, interest rate, maturity and other terms (except the issue date, the price to the public and, if applicable, the initial interest payment date and the date from which interest will begin to accrue) as the notes. The notes and any additional notes will constitute the same series and will be treated as a single class for all purposes under the indenture, including waivers, amendments, redemptions and offers to purchase. However, if any such additional notes are not fungible with the notes for U.S. federal income tax purposes, such additional notes will be issued with a different CUSIP number (or other applicable identifying number).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fully registered form, without coupons, in minimum denominations of $2,000 and integral multiples of $1,000 in excess thereof. No service charge will be made for any registration of transfer or exchange of notes, but the Company may require payment of a sum sufficient to cover any transfer tax or other similar governmental charge payable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notes will accrue at a rate of    % per annum from the Issue Date and will be payable semi-annually in arrears on     and    , commencing    , 2027, to those persons in whose names the notes are registered at the close of business on the immediately preceding     and    , whether or not a business day,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any redemption date, any repurchase date, the maturity date, Change of Control Payment Date or any other date on which the principal of or premium, if any, or interest on a note becomes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payable falls on a day that is not a business day, the required payment shall be made on the next business day as if it were made on the date the payment was due, and no interest shall accrue on the amount so payable for the period from and after the interest payment date, redemption date, maturity date, Change of Control Payment Date or other date,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general senior unsecured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existing and future senior indebtedness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future subordinated indebtedness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all secured indebtedness of the Company, to the extent of the value of the assets securing such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will be structurally subordinated to all of the liabilities, including trade payables, of the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on an as adjusted basis after giving effect to (i) this offering and the application of the net proceeds therefrom, (ii) borrowings under the 2026 Term Loan Facility and the Senior Credit Facility in connection with the Acquisition, (iii) approximately $105.0 million of cash acquired in the Acquisition and (iv) the Senior Credit Facility Upsize Amendment, (A) we would have had approximately $     of outstanding debt, including the notes, of which $454.4 million would have been secured and that would have ranked effectively senior to the notes to the extent of the assets securing such debt, and we would have had approximately $1,138.5 million of undrawn borrowing capacity under our revolving credit facility under the Senior Credit Facility (after giving effect to approximately $55.8 million of outstanding letters of credit) that would rank equally with the notes if borrowed and (B) our Subsidiaries would have had approximately $4.0 billion of total liabilities outstanding (including trade payables) to which the notes would have been structurally subordinated.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redeemable, at our option,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Prior to    , 20    (    months prior to their maturity date) (the “Par Call Date”), the Company may redeem the notes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but excluding,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notes, in whole or in part, at any time and from time to time, at a redemption price equal to 100% of the principal amount of the notes being redeemed plus accrued and unpaid interest on the principal amount being redeemed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the Remaining Life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the Remaining Life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Any notice may, at the Company’s discretion, be subject to the satisfaction or waiver of one or more conditions precedent. In that case, such notice shall state the nature of such conditions precedent, and, if applicable, state that the redemption date may be delayed until the conditions are satisfied or that, if the conditions are not satisfied, such redemption may not occur and the notice may be rescinded.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in accordance with the applicable depositary procedures and any applicable stock exchange. No notes of a principal amount of $2,000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applicable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from time to time, purchase notes at any price or prices in the open market, through negotiated transactions, by tender offer or otherwise, subject to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each holder of the notes will have the right to require the Company to purchase all or a portion (equal to $2,000 or whole multiples of $1,000 in excess thereof) of such holder’s notes pursuant to the offer described below (the “Change of Control Offer”) at a purchase price equal to 101% of the principal amount thereof plus accrued and unpaid interest, if any, to (but excluding) the date of purchase (the “Change of Control Payment”), subject to the right of holders of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the date upon which the Change of Control Triggering Event occurred or, at the Company’s option, prior to any Change of Control but after the public announcement of the pending Change of Control, the Company will send, by first class mail (or with respect to global notes, to the extent permitted or required by applicable procedures or regulations of the depositary, send electronically) a notice to each holder of notes, with a copy to the Trustee, which notice will govern the terms of the Change of Control Offer. The notice will state, among other things, the purchase date, which, other than as may be required by applicable law, must be no earlier than 30 days nor later than 60 days after the date the notice is mailed or sent (and, in the case of a notice mailed or sent prior to the date of consummation of a Change of Control, no earlier than the date of the occurrence of the Change of Control), other than as may be required by law (the “Change of Control Payment Date”). The notice, if mailed or sent prior to the date of consummation of the Change of Control, will state that the Change of Control Offer is conditioned on the Change of Control being consummated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Company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or cause a third party to accept for payment all notes or portions of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or cause a third party to 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or statement signed by an officer of the Company, which need not constitute an officer’s certificate, stating the aggregate principal amount of notes or portions of notes being purchased.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 Change of Control Offer with respect to the notes if (i) a third party makes such an offer in the manner, at the times and otherwise in compliance with the requirements for such an offer made by the Company and such third party purchases all the notes properly tendered and not withdrawn under such third party’s offer, (ii) a notice of redemption has been given to holders with respect to the redemption of all outstanding notes in accordance with the terms of the indenture, unless and until there is a default in payment of the redemption price, or (iii) in connection with or in contemplation of any Change of Control, the Company has made an offer to purchase (an “Alternate Offer”) any and all notes validly tendered at a cash price equal to or higher than the Change of Control Payment and has purchased all notes properly tendered in accordance with the terms of such Alternate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will comply in all material respects with the requirements of Rule 14e-1 under the Securities Exchange Act of 1934, as amended (the “Exchange Act”), and any other securities laws and regulations thereunder to the extent those laws and regulations are applicable in connection with the purchase of the notes as a result of a Change of Control Triggering Event. To the extent that the provisions of any such securities laws or regulations conflict with the Change of Control Offer provisions of the notes, the Company will comply with those securities laws and regulations and will not be deemed to have breached its obligations under the Change of Control Offer provisions of the notes or the indenture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discussion of a Change of Control Offer, the following definitions are applicable: </w:t>
      </w:r>
    </w:p>
    <w:p>
      <w:pPr>
        <w:pStyle w:val="TextBody"/>
        <w:bidi w:val="0"/>
        <w:spacing w:before="240" w:after="0"/>
        <w:jc w:val="left"/>
        <w:rPr/>
      </w:pPr>
      <w:r>
        <w:rPr/>
        <w:t>“</w:t>
      </w:r>
      <w:r>
        <w:rPr>
          <w:rFonts w:ascii="Times New Roman" w:hAnsi="Times New Roman"/>
          <w:sz w:val="20"/>
        </w:rPr>
        <w:t xml:space="preserve">Change of Control”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time as the Company becomes aware of (by way of a report or any other filing pursuant to Section 13(d) of the Exchange Act, proxy, vote, written notice or otherwise) any “person” (as such term is used in Sections 13(d) and 14(d) of the Exchange Act as in effect on the Issue Date), other than one or more Permitted Holders or a Parent Entity, that is or becomes the “beneficial owner” (as defined in Rules 13d-3 and 13d-5 of the Exchange Act as in effect on the Issue Date) of more than 50% of the total voting power of the Voting Stock of the Company; </w:t>
            </w:r>
            <w:r>
              <w:rPr>
                <w:rFonts w:ascii="Times New Roman" w:hAnsi="Times New Roman"/>
                <w:i/>
                <w:sz w:val="20"/>
              </w:rPr>
              <w:t>provided</w:t>
            </w:r>
            <w:r>
              <w:rPr>
                <w:rFonts w:ascii="Times New Roman" w:hAnsi="Times New Roman"/>
                <w:sz w:val="20"/>
              </w:rPr>
              <w:t xml:space="preserve"> that (x) so long as the Company is or becomes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in one or a series of related transactions, of all or substantially all of the assets of the Company and its Subsidiaries, taken as a whole, to a Person (other than the Company or any of its Subsidiaries or one or more Permitted Holders) and any “person” (as defined in clause (1) above), other than one or more Permitted Holders or any Parent Entity, is or becomes the “beneficial owner” (as so defined) of more than 50% of the total voting power of the Voting Stock of the transferee Person in such sale or transfer of assets, as the case may be; </w:t>
            </w:r>
            <w:r>
              <w:rPr>
                <w:rFonts w:ascii="Times New Roman" w:hAnsi="Times New Roman"/>
                <w:i/>
                <w:sz w:val="20"/>
              </w:rPr>
              <w:t>provided</w:t>
            </w:r>
            <w:r>
              <w:rPr>
                <w:rFonts w:ascii="Times New Roman" w:hAnsi="Times New Roman"/>
                <w:sz w:val="20"/>
              </w:rPr>
              <w:t xml:space="preserve"> that (x) so long as the Company is or becomes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Company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Change of Control Triggering Event” means (i) the rating of the notes by both Rating Agencies is lowered at any time during the period (the “Trigger Period”) commencing on the earlier of (a) the occurrence of a Change of Control and (b) the first public announcement by us of any Change of Control (or pending Change of Control), and ending 60 days following consummation of such Change of Control (which Trigger Period will be extended following consummation of a Change of Control for so long as either Rating Agency has publicly announced that it is considering a possible ratings downgrade), and (ii) the notes are rated below Investment Grade by both Rating Agencies on any day during the Trigger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before="240" w:after="0"/>
        <w:jc w:val="left"/>
        <w:rPr/>
      </w:pPr>
      <w:r>
        <w:rPr/>
        <w:t>“</w:t>
      </w:r>
      <w:r>
        <w:rPr>
          <w:rFonts w:ascii="Times New Roman" w:hAnsi="Times New Roman"/>
          <w:sz w:val="20"/>
        </w:rPr>
        <w:t xml:space="preserve">Existing Stockholders” means (a) Jorge Mas, Jose R. Mas and any spouse or lineal descendant of Jorge Mas or Jose R. Mas or any spouse of any such lineal descendant and (b) any trust, corporation, partnership or other entity, the beneficiaries, stockholders, partners, owners or Persons beneficially holding an 80% or more controlling interest of which consist of the Persons referred to in clause (a). </w:t>
      </w:r>
    </w:p>
    <w:p>
      <w:pPr>
        <w:pStyle w:val="TextBody"/>
        <w:bidi w:val="0"/>
        <w:spacing w:before="240" w:after="0"/>
        <w:jc w:val="left"/>
        <w:rPr/>
      </w:pPr>
      <w:r>
        <w:rPr/>
        <w:t>“</w:t>
      </w:r>
      <w:r>
        <w:rPr>
          <w:rFonts w:ascii="Times New Roman" w:hAnsi="Times New Roman"/>
          <w:sz w:val="20"/>
        </w:rPr>
        <w:t xml:space="preserve">Holding Company” means any Person so long as such Person directly or indirectly holds 100% of the total voting power of the Voting Stock of the Company,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category of Moody’s),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Agencies.” </w:t>
      </w:r>
    </w:p>
    <w:p>
      <w:pPr>
        <w:pStyle w:val="TextBody"/>
        <w:bidi w:val="0"/>
        <w:spacing w:before="240" w:after="0"/>
        <w:jc w:val="left"/>
        <w:rPr/>
      </w:pPr>
      <w:r>
        <w:rPr/>
        <w:t>“</w:t>
      </w:r>
      <w:r>
        <w:rPr>
          <w:rFonts w:ascii="Times New Roman" w:hAnsi="Times New Roman"/>
          <w:sz w:val="20"/>
        </w:rPr>
        <w:t xml:space="preserve">Management Stockholders” means the members of management of the Company (or any Parent Entity) or its Subsidiaries who are holders of Capital Stock of the Company or of any Parent Entity on the Issue Date. </w:t>
      </w:r>
    </w:p>
    <w:p>
      <w:pPr>
        <w:pStyle w:val="TextBody"/>
        <w:bidi w:val="0"/>
        <w:spacing w:before="240" w:after="0"/>
        <w:jc w:val="left"/>
        <w:rPr/>
      </w:pPr>
      <w:r>
        <w:rPr/>
        <w:t>“</w:t>
      </w:r>
      <w:r>
        <w:rPr>
          <w:rFonts w:ascii="Times New Roman" w:hAnsi="Times New Roman"/>
          <w:sz w:val="20"/>
        </w:rPr>
        <w:t xml:space="preserve">Moody’s” means Moody’s Investors Service, Inc., and any successor to its rating agency business. </w:t>
      </w:r>
    </w:p>
    <w:p>
      <w:pPr>
        <w:pStyle w:val="TextBody"/>
        <w:bidi w:val="0"/>
        <w:spacing w:before="240" w:after="0"/>
        <w:jc w:val="left"/>
        <w:rPr/>
      </w:pPr>
      <w:r>
        <w:rPr/>
        <w:t>“</w:t>
      </w:r>
      <w:r>
        <w:rPr>
          <w:rFonts w:ascii="Times New Roman" w:hAnsi="Times New Roman"/>
          <w:sz w:val="20"/>
        </w:rPr>
        <w:t xml:space="preserve">Parent Entity” means any direct or indirect parent of the Company. </w:t>
      </w:r>
    </w:p>
    <w:p>
      <w:pPr>
        <w:pStyle w:val="TextBody"/>
        <w:bidi w:val="0"/>
        <w:spacing w:before="240" w:after="0"/>
        <w:jc w:val="left"/>
        <w:rPr/>
      </w:pPr>
      <w:r>
        <w:rPr/>
        <w:t>“</w:t>
      </w:r>
      <w:r>
        <w:rPr>
          <w:rFonts w:ascii="Times New Roman" w:hAnsi="Times New Roman"/>
          <w:sz w:val="20"/>
        </w:rPr>
        <w:t xml:space="preserve">Permitted Holders” means, collectively, (i) the Existing Stockholders, (ii) the Management Stockholders (including any Management Stockholders holding Capital Stock through an equityholding vehicle), (iii) any Person who is acting solely as an underwriter in connection with a public or private offering of Capital Stock of any Parent Entity or the Company, acting in such capacity, (iv)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Times New Roman" w:hAnsi="Times New Roman"/>
          <w:i/>
          <w:sz w:val="20"/>
        </w:rPr>
        <w:t xml:space="preserve">provided </w:t>
      </w:r>
      <w:r>
        <w:rPr>
          <w:rFonts w:ascii="Times New Roman" w:hAnsi="Times New Roman"/>
          <w:sz w:val="20"/>
        </w:rPr>
        <w:t xml:space="preserve">that, in the case of such group and without giving effect to the existence of such group or any other group, Persons referred to in subclauses (i) through (iii), collectively, have beneficial ownership of more than 50% of the total voting power of the Voting Stock of the Company or any Parent Entity held by such group, (v) any Holding Company and (vi) any Permitted Plan. Any Person or group whose acquisition of beneficial ownership constitutes a Change of Control in respect of which a Change of Control Offer is made or waived in accordance with the requirements of the indenture, will thereafter, together with its affiliates, constitute an additional Permitted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Permitted Plan” means any employee benefits plan of the Company or any of its affiliates and any Person acting in its capacity as trustee, agent or other fiduciary or administrator of any such plan. </w:t>
      </w:r>
    </w:p>
    <w:p>
      <w:pPr>
        <w:pStyle w:val="TextBody"/>
        <w:bidi w:val="0"/>
        <w:spacing w:before="240" w:after="0"/>
        <w:jc w:val="left"/>
        <w:rPr/>
      </w:pPr>
      <w:r>
        <w:rPr/>
        <w:t>“</w:t>
      </w:r>
      <w:r>
        <w:rPr>
          <w:rFonts w:ascii="Times New Roman" w:hAnsi="Times New Roman"/>
          <w:sz w:val="20"/>
        </w:rPr>
        <w:t xml:space="preserve">Rating Agencies” means Moody’s and S&amp;P; </w:t>
      </w:r>
      <w:r>
        <w:rPr>
          <w:rFonts w:ascii="Times New Roman" w:hAnsi="Times New Roman"/>
          <w:i/>
          <w:sz w:val="20"/>
        </w:rPr>
        <w:t xml:space="preserve">provided </w:t>
      </w:r>
      <w:r>
        <w:rPr>
          <w:rFonts w:ascii="Times New Roman" w:hAnsi="Times New Roman"/>
          <w:sz w:val="20"/>
        </w:rPr>
        <w:t xml:space="preserve">that if any of Moody’s or S&amp;P ceases to rate the notes or fails to make a rating of the notes publicly available for reasons outside of the Company’s control, the Company may appoint another “nationally recognized statistical rating organization” within the meaning of Section 3(a)(62) of the Exchange Act as a replacement for such Rating Agency with respect to the notes (any such replacement Rating Agency, a “Substitute Rating Agency”).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any successor to its rating agency business. </w:t>
      </w:r>
    </w:p>
    <w:p>
      <w:pPr>
        <w:pStyle w:val="TextBody"/>
        <w:bidi w:val="0"/>
        <w:spacing w:before="240" w:after="0"/>
        <w:jc w:val="left"/>
        <w:rPr/>
      </w:pPr>
      <w:r>
        <w:rPr/>
        <w:t>“</w:t>
      </w:r>
      <w:r>
        <w:rPr>
          <w:rFonts w:ascii="Times New Roman" w:hAnsi="Times New Roman"/>
          <w:sz w:val="20"/>
        </w:rPr>
        <w:t xml:space="preserve">Voting Stock” of any specified Person as of any date means the Capital Stock of such Person of any class or kind ordinarily having the power to vote for the election of directors, managers or other voting members of the governing body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applicability of the requirement that the Company offers to purchase the notes as a result of a sale, transfer, conveyance or other disposition of less than all of the assets of the Company and its Subsidiaries, taken as a whole, to another “person” may be uncertain. In addition, holders of notes may not be entitled to require the Company to purchase their notes in certain circumstances involving a significant change in the composition of the board of directors of the Company, including in connection with a proxy contest. Except as described above with respect to a Change of Control, the indenture will not contain provisions that permit the holder of any notes to require that we purchase or redeem the notes in the event of a takeover, recapitalization or similar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or sinking fund payments for the notes. However, under certain circumstances, the Company may be required to offer to purchase the notes described under “—Purchase upon a Change of Control Triggering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accompanying prospectus under the heading “Description of Debt Securities—Global Debt Securities,” owners of beneficial interests in a global security will not be considered the holders thereof and will not be entitled to receive physical delivery of notes in definitive form, and no global security will be exchangeable except for another global security of like denomination and terms to be registered in the name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deposited with The Depository Trust Company, as depositary, or its custodian. The depositary has advised the Company that the depositary is a limited-purpose trust company organized under the New York Banking Law, a “banking organization” within the meaning of New York Banking Law, a member of the Federal Reserve System, a “clearing corporation” within the meaning of the New York Uniform Commercial Code, and a “clearing agency” registered pursuant to the provisions of Section 17A of the Exchange Act. The depositary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(including the underwriters), banks, trust companies, clearing corporations and certain other organizations some of whom (and/or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 the depositary. Access to the Depositary’s book-entry system is also available to others, such as banks, brokers, dealers, trust companies and clearing corporations that clear through or maintain a custodial relationship with a participant, either directly or indirectly. Persons who are not participants may beneficially own securities held by the depositary only through participants.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or any paying agent will have any responsibility for the performance by the depositary or its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Same-Day Funds Settlement System and Payment </w:t>
      </w:r>
    </w:p>
    <w:p>
      <w:pPr>
        <w:pStyle w:val="TextBody"/>
        <w:bidi w:val="0"/>
        <w:spacing w:before="120" w:after="0"/>
        <w:jc w:val="left"/>
        <w:rPr>
          <w:rFonts w:ascii="Times New Roman" w:hAnsi="Times New Roman"/>
          <w:sz w:val="20"/>
        </w:rPr>
      </w:pPr>
      <w:r>
        <w:rPr>
          <w:rFonts w:ascii="Times New Roman" w:hAnsi="Times New Roman"/>
          <w:sz w:val="20"/>
        </w:rPr>
        <w:t xml:space="preserve">Settlement for the notes will be made by the underwriters in immediately available funds. All payments of principal and interest will be made by the Company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trade in the depositary’s Same-Day Funds Settlement System until maturity or earlier redemption, and secondary market trading activity in the notes will therefore be required by the depositary to settle in immediately available funds. No assurance can be given as to the effect, if any, of settlement in immediately available funds on trading activity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below, the Company shall not, and shall not permit any of its Restricted Subsidiaries to, directly or indirectly, create, incur, issue, assume, guarantee or permit to exist any indebtedness for borrowed money (“Indebtedness”) secured by a Lien on any Principal Property or any shares of stock of or any Indebtedness of any Restricted Subsidiary, whether owned on the date of issuance of the notes or thereafter acquired, unless the Company substantially contemporaneously secures the notes equally and ratably with (or prior to) such Indebtedness until such time as such Indebtedness is no longer secured by a Lien on any Principal Property or any shares of stock of or any Indebtedness of any Restricted Subsidiary, except that the foregoing restrictions shall not apply to Indebtedness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any property, shares of stock or Indebtedness of any Person existing at the time such Person becomes a Restricted Subsidiary; </w:t>
            </w:r>
            <w:r>
              <w:rPr>
                <w:rFonts w:ascii="Times New Roman" w:hAnsi="Times New Roman"/>
                <w:i/>
                <w:sz w:val="20"/>
              </w:rPr>
              <w:t xml:space="preserve">provided </w:t>
            </w:r>
            <w:r>
              <w:rPr>
                <w:rFonts w:ascii="Times New Roman" w:hAnsi="Times New Roman"/>
                <w:sz w:val="20"/>
              </w:rPr>
              <w:t xml:space="preserve">that any such Lien does not extend to or cover any property or assets of the Company or any Restricted Subsidiary of the Company other than the property, shares of stock or Indebtedness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any property, shares of stock or Indebtedness existing at the time of acquisition of such property, stock or Indebtedness by the Company or a Restricted Subsidiary; </w:t>
            </w:r>
            <w:r>
              <w:rPr>
                <w:rFonts w:ascii="Times New Roman" w:hAnsi="Times New Roman"/>
                <w:i/>
                <w:sz w:val="20"/>
              </w:rPr>
              <w:t xml:space="preserve">provided </w:t>
            </w:r>
            <w:r>
              <w:rPr>
                <w:rFonts w:ascii="Times New Roman" w:hAnsi="Times New Roman"/>
                <w:sz w:val="20"/>
              </w:rPr>
              <w:t xml:space="preserve">that such Liens are not created, incurred or assumed in connection with, or in contemplation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(i) the payment of all or any part of the price of acquisition, construction, alteration, expansion, repair or improvement of property, assets or stock by the Company or a Restricted Subsidiary, (ii) any Indebtedness incurred by the Company or a Restricted Subsidiary prior to, at the time of or within one year after the later of the acquisition or completion of construction, alteration, expansion, repair or improvement of such property (including any improvements on an existing property), which Indebtedness is incurred for the purpose of financing all or any part of the purchase price thereof or construction, alteration, expansion, repair or improvements thereon or (iii) any other Finance Lease Obligation; </w:t>
            </w:r>
            <w:r>
              <w:rPr>
                <w:rFonts w:ascii="Times New Roman" w:hAnsi="Times New Roman"/>
                <w:i/>
                <w:sz w:val="20"/>
              </w:rPr>
              <w:t xml:space="preserve">provided </w:t>
            </w:r>
            <w:r>
              <w:rPr>
                <w:rFonts w:ascii="Times New Roman" w:hAnsi="Times New Roman"/>
                <w:sz w:val="20"/>
              </w:rPr>
              <w:t xml:space="preserve">that, in the case of any such acquisition, construction, alteration, expansion, repair, improvement or Finance Lease Obligation, the Lien shall not apply to any property theretofore owned by the Company or a Restricted Subsidiary, other than, in the case of any such construction, alteration, expansion, repair, improvement or Finance Lease Obligation, any theretofore substantially unimproved real property on which the property or improvement so constructed is located;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of the Company or a Restricted Subsidiary owing to the Company, a Restricted Subsidiary or a wholly-owned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a Person existing at the time such Person is merged into or consolidated with the Company or a Restricted Subsidiary or at the time of a sale, lease or other disposition of the properties of a Person as an entirety or substantially as an entirety to the Company or a Restricted Subsidiary; </w:t>
            </w:r>
            <w:r>
              <w:rPr>
                <w:rFonts w:ascii="Times New Roman" w:hAnsi="Times New Roman"/>
                <w:i/>
                <w:sz w:val="20"/>
              </w:rPr>
              <w:t>provided</w:t>
            </w:r>
            <w:r>
              <w:rPr>
                <w:rFonts w:ascii="Times New Roman" w:hAnsi="Times New Roman"/>
                <w:sz w:val="20"/>
              </w:rPr>
              <w:t xml:space="preserve"> that any such Lien does not extend to or cover any property of the Company or any Restricted Subsidiary of the Company other than the property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the Company or a Restricted Subsidiary in favor of the United States or any state thereof, or any department, agency or instrumentality or political subdivision of the United States or any state thereof, or in favor of any other country or any political subdivision thereof, or any department, agency or instrumentality of such country or political subdivision, to secure partial, progress, advance or other payments or performance pursuant to any contract or statute or to secure any Indebtedness incurred for the purpose of financing all or any part of the purchase price or the cost of construction of the property subject to such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or provided for under the terms of agreements existing as of, the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resulting from the deposit of funds or evidences of Indebtedness in trust for the purpose of defeasing Indebtedness of the Company or any of its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upon specific items of inventory or other goods and proceeds of the Company or any of its Restricted Subsidiaries securing the Company’s or such Restricted Subsidiary’s obligations in respect of bankers’ acceptances or letters of credit issued or created for the account of such Person to facilitate the purchase, shipment or storage of such inventory or other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10.</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(or successive extensions, renewals or replacements) in whole or in part of any Liens referred to in clauses (1) through (9) above; </w:t>
            </w:r>
            <w:r>
              <w:rPr>
                <w:rFonts w:ascii="Times New Roman" w:hAnsi="Times New Roman"/>
                <w:i/>
                <w:sz w:val="20"/>
              </w:rPr>
              <w:t>provided, however</w:t>
            </w:r>
            <w:r>
              <w:rPr>
                <w:rFonts w:ascii="Times New Roman" w:hAnsi="Times New Roman"/>
                <w:sz w:val="20"/>
              </w:rPr>
              <w:t xml:space="preserve">, that the principal amount of Indebtedness so secured shall not exceed the principal amount of Indebtedness so secured at the time of such extension, renewal or replacement (plus, in each case, the aggregate amount of premiums, other payments, costs and expenses related to any refinancing, refunding, extension, renewal or replacement of such Indebtedness), and that such extension, renewal or replacement shall be limited to all or a part of the property which secured the Liens so extended, renewed or replaced (plus improvements and construction on such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the payment of taxes, special assessments, governmental charges or claims (i) which are not overdue for a period of more than sixty days or (ii)(x) the validity of which is being contested by the Person being charged in good faith by appropriate proceedings, and (y) as to which it has set aside on its books adequate reserves to the extent required by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deposits, pledges or Liens on or securing property or shares of stock under workers’ compensation, unemployment insurance and social security laws or similar obligations, or to secure the performance of bids, tenders, contracts (other than for the repayment of borrowed money), leases, bankers’ acceptances or completion guarantees, or to secure statutory or regulatory obligations or surety or appeal bonds and related indemnification obligations in respect thereof, government contracts, performance and return-of-money bonds and other obligations of a similar nature, or to secure indemnity, performance or other similar bonds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attachment Lien being contested in good faith and by proceedings promptly initiated and diligently conducted, unless the attachment giving rise thereto will not, within sixty days after the entry thereof, have been discharged or fully bonded or will not have been discharged within sixty days after the termination of any such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securing or arising from the rendering of a final judgment, decree, award or order unless (i) the judgment, decree, award or order it secures will not, within sixty days after the entry thereof, have been discharged or execution thereof stayed pending appeal, or will not have been discharged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within sixty days after the expiration of any such stay or (ii) the judgment, decree, award or order it secures results in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zoning restrictions, servitudes, encroachments, title defects or other irregularities, and servicing agreements, development agreements, site plan agreements, subdivision agreements, facilities sharing agreements, cost sharing agreements and other agreements, and other restrictions, charges or encumbrances not materially interfering with the ordinary conduct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statutory or governmental Lien or a Lien arising by operation of law, or any mechanics’, repairmen’s, materialmen’s, supplier’s, carrier’s, landlord’s, warehousemen’s, construction contractor’s or similar Lien or pursuant to customary reservations or retentions of title in each case for sums not yet overdue for a period of more than sixty days or that are bonded or being contested in good faith by appropriate proceedings and any undetermined Lien that is incidental to construction, development, improvement or repair;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or subleases granted to others that do not materially interfere with the ordinary course of business of the Company and its Subsidiaries, taken as a whole, and any Lien of a lessor in the property subject to any operating lease or short-term rental;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property or assets under construction or arising from progress or partial payments by a third party relating to such property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from filing Uniform Commercial Code financing statements (or equivalent filings, registrations or agreements in foreign jurisdictions) regarding operating leases or short-term rentals;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customary initial deposits and margin deposits, and other Liens that are within the general parameters customary in the industry and incurred in the ordinary course of business, in each case, securing Indebtedness under interest rate agreements, currency agreements or commodity agreements designed to protect the Company or any of its Subsidiaries from fluctuations in interest rates, currencies or the price of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or sales of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governmental bodies to secure advance or progress payments pursuant to any contract or statute and Liens in favor of governmental bodies in connection with industrial revenue, pollution control, private activity bonds or similar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dispositions of property, assets or stock to be disposed of pursuant to merger agreements, stock or asset purchase agreements and similar agreements, Liens on cash earnest money deposits made in connection with any letter of intent or purchase agreement and customary options, put and call arrangements, rights of first refusal and similar rights relating to investments in joint ventures and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machinery and equipment in favor of contract counterparties arising under contracts entered into in the ordinary course of business; </w:t>
            </w:r>
            <w:r>
              <w:rPr>
                <w:rFonts w:ascii="Times New Roman" w:hAnsi="Times New Roman"/>
                <w:i/>
                <w:sz w:val="20"/>
              </w:rPr>
              <w:t xml:space="preserve">provided </w:t>
            </w:r>
            <w:r>
              <w:rPr>
                <w:rFonts w:ascii="Times New Roman" w:hAnsi="Times New Roman"/>
                <w:sz w:val="20"/>
              </w:rPr>
              <w:t xml:space="preserve">that such Liens secure only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on or after the Issue Date on any assets or capital stock of the Company or its Subsidiaries created in favor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customs and revenue authorities arising as a matter of law to secured payment of customs duties in connection with the importation of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and sublicenses of intellectual property granted to third parties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normal and customary rights of setoff upon deposits of cash in favor of banks and other depositary institutions and Liens of a collecting bank arising under the UCC on checks and other items of payment in the course of collection;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out of conditional sale, title retention, consignment or similar arrangements for the sale of goods entered into by the Company or any of its Restricted Subsidiaries in the ordinary course of business in accordance with past practices of the Company and its Restricted Subsidiaries prior to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held by a trustee in funds and accounts under an indenture securing revenue bonds issued for the benefit of the Company or any of its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its Restricted Subsidiaries may, without securing the notes, create, incur, issue, assume, guarantee or permit to exist any Indebtedness secured by a Lien, other than those permitted pursuant to clauses (1) through (31) above, if, immediately after giving pro forma effect to the incurrence of such Indebtedness (and the receipt and application of the proceeds thereof) or the securing of outstanding Indebtedness, the sum of (without duplication) (i) all Indebtedness of the Company and its Restricted Subsidiaries secured by Liens (other than those Liens permitted pursuant to clauses (1) through (31) above) and (ii) all Attributable Indebtedness in respect of Sale/Leaseback Transactions with respect to any Principal Property, at the time of determination, does not exceed 15% of Consolidated Net 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and shall not permit any of its Restricted Subsidiaries to, enter into any Sale/Leaseback Transaction with respect to any Principal Property, unless (i) the Company or such Restricted Subsidiary would be entitled to create a Lien on such Principal Property securing Indebtedness in an amount equal to the Attributable Indebtedness with respect to such Sale/Leaseback Transaction without securing the notes pursuant to the covenant described in “—Limitation on Liens” above or (ii) the Company, within twelve months from the effective date of such Sale/Leaseback Transaction, applies to (x) the voluntary defeasance or retirement (excluding retirements of notes and other Indebtedness ranking pari passu with the notes as a result of conversions, pursuant to mandatory sinking funds or mandatory prepayment provisions or by payment at maturity) of notes or other Indebtedness ranking pari passu with the notes, (y) the acquisition, construction, development or improvement of any Principal Property used or useful in the businesses of the Company or its Subsidiaries or (z) any combination of the foregoing, an amount equal to the Attributable Indebtedness with respect to such Sale/Leaseback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consolidate with or merge with or into any person, or convey, transfer or lease all or substantially all of its assets, unless the following conditions have been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the Company is the continuing Person in the case of a merger or (2) the resulting, surviving or transferee Person, if other than the Company (the “Successor Company”), is a corporation organized and existing under the laws of the United States, any State thereof or the District of Columbia and expressly assumes pursuant to a supplemental indenture all of the obligations of the Company under the notes and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(and treating any Indebtedness that becomes an obligation of the Successor Company or any Subsidiary of the Company as a result of such transaction as having been incurred by the Successor Company or such Subsidiary at the time of such transaction), no default or Event of Default would occur or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delivered to the Trustee an officer’s certificate and an opinion of counsel (which opinion of counsel may be subject to customary assumptions, qualifications and exclusions), each stating that such consolidation, merger, or transfer and such supplemental indenture (if any) comply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Successor Company expressly assumes all of the obligations of the Company under the notes and the indenture, the Company will promptly thereafter be released from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so long as any notes are outstanding, if the Company is subject to the periodic reporting requirements of the Exchange Act, it will furnish to the Trustee and the holders (unless such reports are available on the SEC’s Electronic Data Gathering, Analysis and Retrieval (EDGAR) system or any successor thereto) copies of the annual and quarterly reports and of the information, documents and other reports the Company is required to file with the SEC pursuant to Section 13 or Section 15(d) of the Exchange Act within 15 days after the Company is required to file such reports with the SEC. If the Company is not subject to the periodic reporting requirements of the Exchange Act, then the Company will file with the Trustee and the holders (unless such reports are available on the EDGAR system or any successor thereto) and the SEC, in accordance with the SEC’s rules and regulations,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Delivery of such statements, reports, notices and other information and documents to the Trustee is for informational purposes only, and the Trustee’s receipt of the foregoing shall not constitute constructive notice of any information contained therein or determinable from information contained therein, including the Company’s compliance with any of the covenants in the indenture (as to which the Trustee is entitled to rely exclusively on officer’s certificates).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definitions, among others, are used in the indenture. Many of the definitions of terms used in the indenture have been negotiated specifically for the purposes of inclusion in the indenture and may not be consistent with the manner in which such terms are defined in other contexts. Prospective purchasers of notes are encouraged to read each of the following definitions carefully and to consider such definitions in the context in which they are used in the indenture. Capitalized terms used herein but not defined have the meanings assigned thereto in the indenture. </w:t>
      </w:r>
    </w:p>
    <w:p>
      <w:pPr>
        <w:pStyle w:val="TextBody"/>
        <w:bidi w:val="0"/>
        <w:spacing w:before="240" w:after="0"/>
        <w:jc w:val="left"/>
        <w:rPr/>
      </w:pPr>
      <w:r>
        <w:rPr/>
        <w:t>“</w:t>
      </w:r>
      <w:r>
        <w:rPr>
          <w:rFonts w:ascii="Times New Roman" w:hAnsi="Times New Roman"/>
          <w:i/>
          <w:sz w:val="20"/>
        </w:rPr>
        <w:t xml:space="preserve">Attributable Indebtedness” </w:t>
      </w:r>
      <w:r>
        <w:rPr>
          <w:rFonts w:ascii="Times New Roman" w:hAnsi="Times New Roman"/>
          <w:sz w:val="20"/>
        </w:rPr>
        <w:t xml:space="preserve">with respect to a Sale/Leaseback Transaction means, as of the time of determination, (i) if the obligation with respect to such Sale/Leaseback Transaction is a Finance Lease Obligation, the amount of such obligation determined in accordance with GAAP and included in the financial statements of the lessee or (ii) if the obligation with respect to such Sale/Leaseback Transaction is not a Finance Lease Obligation, the total Net Amount of Rent required to be paid by the lessee under such lease during the remaining term thereof (including any period for which the lease has been extended), discounted from the respective due dates thereof to such determination date at the rate per annum borne by the notes compounded semi-annually. </w:t>
      </w:r>
    </w:p>
    <w:p>
      <w:pPr>
        <w:pStyle w:val="TextBody"/>
        <w:bidi w:val="0"/>
        <w:spacing w:before="240" w:after="0"/>
        <w:jc w:val="left"/>
        <w:rPr/>
      </w:pPr>
      <w:r>
        <w:rPr/>
        <w:t>“</w:t>
      </w:r>
      <w:r>
        <w:rPr>
          <w:rFonts w:ascii="Times New Roman" w:hAnsi="Times New Roman"/>
          <w:i/>
          <w:sz w:val="20"/>
        </w:rPr>
        <w:t xml:space="preserve">Consolidated Net Tangible Assets” </w:t>
      </w:r>
      <w:r>
        <w:rPr>
          <w:rFonts w:ascii="Times New Roman" w:hAnsi="Times New Roman"/>
          <w:sz w:val="20"/>
        </w:rPr>
        <w:t xml:space="preserve">means, as of any date of determination, the sum of the amounts that would appear on a consolidated balance sheet of the Company and its Subsidiaries for the total assets (less accumulated depreciation and amortization, allowances for doubtful receivables, other applicable reserves and other properly deductible items) of the Company and its Subsidiaries, determined on a consolidated basis in accordance with GAAP, after giving effect to purchase accounting and after deducting therefrom, to the extent included in total assets, in each case as determined on a consolidated basis in accordance with GAAP (without duplication): (i) the aggregate amount of liabilities of the Company and its Subsidiaries that may properly be classified as current liabilities (including taxes accrued as estimated) (excluding the amount of those which are by their terms extendable or renewable at the option of the obligor to a date more than twelve months after the date as of which the amount is being determined); (ii) current Indebtedness and current maturities of long-term Indebtedness; (iii) minority interests in the Company’s Subsidiaries held by Persons other than the Company or a wholly-owned Subsidiary of the Company; and (iv) unamortized debt discount and expenses and other unamortized deferred charges, goodwill, patents, trademarks, service marks, trade names, copyrights, licenses, organization or developmental expenses and other intangible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 xml:space="preserve">Finance Lease Obligation” </w:t>
      </w:r>
      <w:r>
        <w:rPr>
          <w:rFonts w:ascii="Times New Roman" w:hAnsi="Times New Roman"/>
          <w:sz w:val="20"/>
        </w:rPr>
        <w:t xml:space="preserve">means an obligation that is required to be accounted for as a finance lease (and, for the avoidance of doubt, not an operating lease) for financial reporting purposes in accordance with GAAP. At the time any determination thereof is to be made, the amount of the liability in respect of a finance lease would be the amount required to be reflected as a liability on the balance sheet (excluding the footnotes thereto) in accordance with GAAP. </w:t>
      </w:r>
    </w:p>
    <w:p>
      <w:pPr>
        <w:pStyle w:val="TextBody"/>
        <w:bidi w:val="0"/>
        <w:spacing w:before="240" w:after="0"/>
        <w:jc w:val="left"/>
        <w:rPr/>
      </w:pPr>
      <w:r>
        <w:rPr/>
        <w:t>“</w:t>
      </w:r>
      <w:r>
        <w:rPr>
          <w:rFonts w:ascii="Times New Roman" w:hAnsi="Times New Roman"/>
          <w:i/>
          <w:sz w:val="20"/>
        </w:rPr>
        <w:t xml:space="preserve">GAAP” </w:t>
      </w:r>
      <w:r>
        <w:rPr>
          <w:rFonts w:ascii="Times New Roman" w:hAnsi="Times New Roman"/>
          <w:sz w:val="20"/>
        </w:rPr>
        <w:t xml:space="preserve">means generally accepted accounting principles in the United States as in effect as of the date on which the notes are issued,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the indenture will be computed in conformity with GAAP consistently applied. </w:t>
      </w:r>
    </w:p>
    <w:p>
      <w:pPr>
        <w:pStyle w:val="TextBody"/>
        <w:bidi w:val="0"/>
        <w:spacing w:before="240" w:after="0"/>
        <w:jc w:val="left"/>
        <w:rPr/>
      </w:pPr>
      <w:r>
        <w:rPr/>
        <w:t>“</w:t>
      </w:r>
      <w:r>
        <w:rPr>
          <w:rFonts w:ascii="Times New Roman" w:hAnsi="Times New Roman"/>
          <w:i/>
          <w:sz w:val="20"/>
        </w:rPr>
        <w:t>Henkels</w:t>
      </w:r>
      <w:r>
        <w:rPr>
          <w:rFonts w:ascii="Times New Roman" w:hAnsi="Times New Roman"/>
          <w:sz w:val="20"/>
        </w:rPr>
        <w:t> </w:t>
      </w:r>
      <w:r>
        <w:rPr>
          <w:rFonts w:ascii="Times New Roman" w:hAnsi="Times New Roman"/>
          <w:i/>
          <w:sz w:val="20"/>
        </w:rPr>
        <w:t xml:space="preserve">&amp; McCoy Property” </w:t>
      </w:r>
      <w:r>
        <w:rPr>
          <w:rFonts w:ascii="Times New Roman" w:hAnsi="Times New Roman"/>
          <w:sz w:val="20"/>
        </w:rPr>
        <w:t xml:space="preserve">means those certain properties located at 2840 Fiscus Street, Pomona, California 91766 and 985 Jolly Road, Blue Bell, Pennsylvania 19422, including any improvements now or hereafter located thereon. </w:t>
      </w:r>
    </w:p>
    <w:p>
      <w:pPr>
        <w:pStyle w:val="TextBody"/>
        <w:bidi w:val="0"/>
        <w:spacing w:before="240" w:after="0"/>
        <w:jc w:val="left"/>
        <w:rPr/>
      </w:pPr>
      <w:r>
        <w:rPr/>
        <w:t>“</w:t>
      </w:r>
      <w:r>
        <w:rPr>
          <w:rFonts w:ascii="Times New Roman" w:hAnsi="Times New Roman"/>
          <w:i/>
          <w:sz w:val="20"/>
        </w:rPr>
        <w:t xml:space="preserve">Issue Date” </w:t>
      </w:r>
      <w:r>
        <w:rPr>
          <w:rFonts w:ascii="Times New Roman" w:hAnsi="Times New Roman"/>
          <w:sz w:val="20"/>
        </w:rPr>
        <w:t xml:space="preserve">means the date on which the notes are originally issued under the indenture. </w:t>
      </w:r>
    </w:p>
    <w:p>
      <w:pPr>
        <w:pStyle w:val="TextBody"/>
        <w:bidi w:val="0"/>
        <w:spacing w:before="240" w:after="0"/>
        <w:jc w:val="left"/>
        <w:rPr/>
      </w:pPr>
      <w:r>
        <w:rPr/>
        <w:t>“</w:t>
      </w:r>
      <w:r>
        <w:rPr>
          <w:rFonts w:ascii="Times New Roman" w:hAnsi="Times New Roman"/>
          <w:i/>
          <w:sz w:val="20"/>
        </w:rPr>
        <w:t xml:space="preserve">Lien” </w:t>
      </w:r>
      <w:r>
        <w:rPr>
          <w:rFonts w:ascii="Times New Roman" w:hAnsi="Times New Roman"/>
          <w:sz w:val="20"/>
        </w:rPr>
        <w:t xml:space="preserve">means any mortgage, pledge, security interest, encumbrance, lien or charge of any kind (including any conditional sale or other title retention agreement or lease in the nature thereof). </w:t>
      </w:r>
    </w:p>
    <w:p>
      <w:pPr>
        <w:pStyle w:val="TextBody"/>
        <w:bidi w:val="0"/>
        <w:spacing w:before="240" w:after="0"/>
        <w:jc w:val="left"/>
        <w:rPr/>
      </w:pPr>
      <w:r>
        <w:rPr/>
        <w:t>“</w:t>
      </w:r>
      <w:r>
        <w:rPr>
          <w:rFonts w:ascii="Times New Roman" w:hAnsi="Times New Roman"/>
          <w:i/>
          <w:sz w:val="20"/>
        </w:rPr>
        <w:t xml:space="preserve">Net Amount of Rent” </w:t>
      </w:r>
      <w:r>
        <w:rPr>
          <w:rFonts w:ascii="Times New Roman" w:hAnsi="Times New Roman"/>
          <w:sz w:val="20"/>
        </w:rPr>
        <w:t xml:space="preserve">as to any lease for any period means the aggregate amount of rent payable by the lessee with respect to such period after excluding amounts required to be paid on account of maintenance and repairs, insurance, taxes, assessments, water rates and similar charges. In the case of any lease that is terminable by the lessee upon the payment of a penalty, such net amount shall also include the amount of such penalty, but no rent shall be considered as payable under such lease subsequent to the first date upon which it may be so terminated. </w:t>
      </w:r>
    </w:p>
    <w:p>
      <w:pPr>
        <w:pStyle w:val="TextBody"/>
        <w:bidi w:val="0"/>
        <w:spacing w:before="240" w:after="0"/>
        <w:jc w:val="left"/>
        <w:rPr/>
      </w:pPr>
      <w:r>
        <w:rPr/>
        <w:t>“</w:t>
      </w:r>
      <w:r>
        <w:rPr>
          <w:rFonts w:ascii="Times New Roman" w:hAnsi="Times New Roman"/>
          <w:i/>
          <w:sz w:val="20"/>
        </w:rPr>
        <w:t xml:space="preserve">Person” </w:t>
      </w:r>
      <w:r>
        <w:rPr>
          <w:rFonts w:ascii="Times New Roman" w:hAnsi="Times New Roman"/>
          <w:sz w:val="20"/>
        </w:rPr>
        <w:t xml:space="preserve">means any individual, corporation, partnership, limited liability company, joint venture,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i/>
          <w:sz w:val="20"/>
        </w:rPr>
        <w:t xml:space="preserve">Principal Property” </w:t>
      </w:r>
      <w:r>
        <w:rPr>
          <w:rFonts w:ascii="Times New Roman" w:hAnsi="Times New Roman"/>
          <w:sz w:val="20"/>
        </w:rPr>
        <w:t xml:space="preserve">means any manufacturing plant or other similar facility (including Production Machinery and Equipment located thereon), corporate office, equipment yard, maintenance facility, training facility or warehouse owned by the Company or any Subsidiary, which is located within the United States (excluding its territories and possessions), in each case having a net book value in excess of 1% of Consolidated Net Tangible Assets other than (i) any such plant, facility or property which the Company’s Board of Directors determines in good faith is not of material importance to the total business conducted, or assets owned, by the Company and its Subsidiaries as an entirety or (ii) any portion of any such plant, facility or property which the Company’s Board of Directors determines in good faith not to be of material importance to the use or operation thereof; </w:t>
      </w:r>
      <w:r>
        <w:rPr>
          <w:rFonts w:ascii="Times New Roman" w:hAnsi="Times New Roman"/>
          <w:i/>
          <w:sz w:val="20"/>
        </w:rPr>
        <w:t xml:space="preserve">provided </w:t>
      </w:r>
      <w:r>
        <w:rPr>
          <w:rFonts w:ascii="Times New Roman" w:hAnsi="Times New Roman"/>
          <w:sz w:val="20"/>
        </w:rPr>
        <w:t xml:space="preserve">that the term “Principal Property” shall not include any direct or indirect legal, beneficial or equitable interest in the Henkels &amp; McCoy Property. As of the date of this prospectus supplement, neither the Company nor any of its Subsidiaries owns any Principal Property. </w:t>
      </w:r>
    </w:p>
    <w:p>
      <w:pPr>
        <w:pStyle w:val="TextBody"/>
        <w:bidi w:val="0"/>
        <w:spacing w:before="240" w:after="0"/>
        <w:jc w:val="left"/>
        <w:rPr/>
      </w:pPr>
      <w:r>
        <w:rPr/>
        <w:t>“</w:t>
      </w:r>
      <w:r>
        <w:rPr>
          <w:rFonts w:ascii="Times New Roman" w:hAnsi="Times New Roman"/>
          <w:i/>
          <w:sz w:val="20"/>
        </w:rPr>
        <w:t xml:space="preserve">Production Machinery and Equipment” </w:t>
      </w:r>
      <w:r>
        <w:rPr>
          <w:rFonts w:ascii="Times New Roman" w:hAnsi="Times New Roman"/>
          <w:sz w:val="20"/>
        </w:rPr>
        <w:t xml:space="preserve">means production machinery and equipment in such Principal Property used directly in the production of the Company’s or any Subsidiary’s products. </w:t>
      </w:r>
    </w:p>
    <w:p>
      <w:pPr>
        <w:pStyle w:val="TextBody"/>
        <w:bidi w:val="0"/>
        <w:spacing w:before="240" w:after="0"/>
        <w:jc w:val="left"/>
        <w:rPr/>
      </w:pPr>
      <w:r>
        <w:rPr/>
        <w:t>“</w:t>
      </w:r>
      <w:r>
        <w:rPr>
          <w:rFonts w:ascii="Times New Roman" w:hAnsi="Times New Roman"/>
          <w:i/>
          <w:sz w:val="20"/>
        </w:rPr>
        <w:t xml:space="preserve">Restricted Subsidiary” </w:t>
      </w:r>
      <w:r>
        <w:rPr>
          <w:rFonts w:ascii="Times New Roman" w:hAnsi="Times New Roman"/>
          <w:sz w:val="20"/>
        </w:rPr>
        <w:t xml:space="preserve">means any Subsidiary of the Company, substantially all of the assets of which are located in the United States (excluding its territories and possessions) that at the time, directly or indirectly, through one or more Subsidiaries or in combination with one or more other Subsidiaries or the Company, owns a Principal Property; </w:t>
      </w:r>
      <w:r>
        <w:rPr>
          <w:rFonts w:ascii="Times New Roman" w:hAnsi="Times New Roman"/>
          <w:i/>
          <w:sz w:val="20"/>
        </w:rPr>
        <w:t xml:space="preserve">provided, however, </w:t>
      </w:r>
      <w:r>
        <w:rPr>
          <w:rFonts w:ascii="Times New Roman" w:hAnsi="Times New Roman"/>
          <w:sz w:val="20"/>
        </w:rPr>
        <w:t xml:space="preserve">that any Subsidiary that transacts any substantial portion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regularly maintains any substantial portion of its fixed assets outside of the United States (excluding its territories and possessions) shall not be deemed to be a “Restricted Subsidiary.” </w:t>
      </w:r>
    </w:p>
    <w:p>
      <w:pPr>
        <w:pStyle w:val="TextBody"/>
        <w:bidi w:val="0"/>
        <w:spacing w:before="240" w:after="0"/>
        <w:jc w:val="left"/>
        <w:rPr/>
      </w:pPr>
      <w:r>
        <w:rPr/>
        <w:t>“</w:t>
      </w:r>
      <w:r>
        <w:rPr>
          <w:rFonts w:ascii="Times New Roman" w:hAnsi="Times New Roman"/>
          <w:i/>
          <w:sz w:val="20"/>
        </w:rPr>
        <w:t xml:space="preserve">Sale/Leaseback Transaction” </w:t>
      </w:r>
      <w:r>
        <w:rPr>
          <w:rFonts w:ascii="Times New Roman" w:hAnsi="Times New Roman"/>
          <w:sz w:val="20"/>
        </w:rPr>
        <w:t xml:space="preserve">means an arrangement relating to property owned on the date of issuance of the notes or thereafter acquired whereby the Company or any of its Restricted Subsidiaries transfers such property to a Person and the Company or any of its Restricted Subsidiaries subsequently leases such property from such Person other than (1) leases for a term, including renewals at the option of the lessee, of not more than three years, (2) leases between the Company and a Subsidiary or between Subsidiaries and (3) leases of a property executed by the time of, or within twelve months after the latest of, the acquisition, the completion of construction or improvement, or the commencement of commercial operation of such property. </w:t>
      </w:r>
    </w:p>
    <w:p>
      <w:pPr>
        <w:pStyle w:val="TextBody"/>
        <w:bidi w:val="0"/>
        <w:spacing w:before="240" w:after="0"/>
        <w:jc w:val="left"/>
        <w:rPr/>
      </w:pPr>
      <w:r>
        <w:rPr/>
        <w:t>“</w:t>
      </w:r>
      <w:r>
        <w:rPr>
          <w:rFonts w:ascii="Times New Roman" w:hAnsi="Times New Roman"/>
          <w:i/>
          <w:sz w:val="20"/>
        </w:rPr>
        <w:t xml:space="preserve">Significant Subsidiary” </w:t>
      </w:r>
      <w:r>
        <w:rPr>
          <w:rFonts w:ascii="Times New Roman" w:hAnsi="Times New Roman"/>
          <w:sz w:val="20"/>
        </w:rPr>
        <w:t xml:space="preserve">means, at any date of determination, any Restricted Subsidiary that, together with its Subsidiaries, (1) for the most recent fiscal year of the Company, accounted for more than 10% of the consolidated revenues of the Company and its Restricted Subsidiaries or (2) as of the end of such fiscal year, was the owner of more than 10% of the consolidated assets of the Company and its Restricted Subsidiaries, all as set forth on the most recently available consolidated financial statements of the Company for such fiscal year. </w:t>
      </w:r>
    </w:p>
    <w:p>
      <w:pPr>
        <w:pStyle w:val="TextBody"/>
        <w:bidi w:val="0"/>
        <w:spacing w:before="240" w:after="0"/>
        <w:jc w:val="left"/>
        <w:rPr/>
      </w:pPr>
      <w:r>
        <w:rPr/>
        <w:t>“</w:t>
      </w:r>
      <w:r>
        <w:rPr>
          <w:rFonts w:ascii="Times New Roman" w:hAnsi="Times New Roman"/>
          <w:i/>
          <w:sz w:val="20"/>
        </w:rPr>
        <w:t xml:space="preserve">Subsidiary” </w:t>
      </w:r>
      <w:r>
        <w:rPr>
          <w:rFonts w:ascii="Times New Roman" w:hAnsi="Times New Roman"/>
          <w:sz w:val="20"/>
        </w:rPr>
        <w:t xml:space="preserve">of any Person means any corporation, association, partnership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 </w:t>
      </w:r>
      <w:r>
        <w:rPr>
          <w:rFonts w:ascii="Times New Roman" w:hAnsi="Times New Roman"/>
          <w:i/>
          <w:sz w:val="20"/>
        </w:rPr>
        <w:t xml:space="preserve">provided, however, </w:t>
      </w:r>
      <w:r>
        <w:rPr>
          <w:rFonts w:ascii="Times New Roman" w:hAnsi="Times New Roman"/>
          <w:sz w:val="20"/>
        </w:rPr>
        <w:t xml:space="preserve">that any Person the accounts of which are not consolidated with those of the Company in its consolidated financial statements prepared in accordance with GAAP shall not be deemed to be a “Subsidiary”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events will be defined as “Events of Default”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if any, on) any note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interest on any note when the same becomes due and payable,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defaults in the performance of or breaches any other covenant or agreement in the indenture or under the notes (other than a default specified in clause (1) or (2) above) and such default or breach continues for a period of 90 consecutive days after written notice by the Trustee or the holders of 25% or more in aggregate principal amount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occurs with respect to any Indebtedness of the Company or any Significant Subsidiary having an outstanding principal amount of $225.0 million or more in the aggregate, (i) an event of default that has caused the holder thereof to declare such Indebtedness to be due and payable prior to its stated maturity and such Indebtedness has not been discharged in full or such acceleration has not been rescinded or annulled within 30 days of such acceleration or (ii) the failure to make a principal payment at the final (but not any interim) fixed maturity and such defaulted payment shall not have been made, waived or extended within 30 days of such payment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having competent jurisdiction in the premises enters a final, non-appealable decree or order for (A) relief in respect of the Company or any Significant Subsidiary (or a group of Restricted Subsidiaries that, taken together, would constitute a Significant Subsidiary) in an involuntary case under any applicable bankruptcy, insolvency or other similar law now or hereafter in effect, (B) appointment of a receiver, liquidator, assignee, custodian, trustee, sequestrator or similar official of the Company or any Significant Subsidiary (or a group of Restricted Subsidiaries that, taken together,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would constitute a Significant Subsidiary) or for all or substantially all of the property and assets of the Company or any Significant Subsidiary (or such group of Restricted Subsidiaries) or (C) the winding up or liquidation of the affairs of the Company or any Significant Subsidiary (or a group of Restricted Subsidiaries that, taken together, would constitute a Significant Subsidiary) and, in each case, such decree or order shall remain unstayed and in effect for a period of 90 consecutive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Significant Subsidiary (or a group of Restricted Subsidiaries that, taken together, would constitute a Significant Subsidiary) (A) commences a voluntary case under any applicable bankruptcy, insolvency or other similar law now or hereafter in effect, or consents to the entry of an order for relief in an involuntary case under any such law, (B) consents to the appointment of or taking possession by a receiver, liquidator, assignee, custodian, trustee, sequestrator or similar official of the Company or any Significant Subsidiary (or a group of Restricted Subsidiaries that, taken together, would constitute a Significant Subsidiary) or for all or substantially all of the property and assets of the Company or any Significant Subsidiary (or such group of Restricted Subsidiaries) or (C) effects any general assignment for the benefit of creditors.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(5) or (6) above that occurs with respect to the Company) occurs and is continuing under the Indenture, the Trustee or the Holders of at least 25% in aggregate principal amount of the notes then outstanding, by written notice to the Company (and to the Trustee if such notice is given by the holders of notes), may, and the Trustee at the request of such holders shall, declare the principal of, premium, if any, and accrued interest on the notes to be immediately due and payable. Upon a declaration of acceleration, such principal of, premium, if any, and accrued interest shall be immediately due and payable. In the event of a declaration of acceleration because an Event of Default set forth in clause (4) above has occurred and is continuing, such declaration of acceleration shall be automatically rescinded and annulled if the event of default triggering such Event of Default pursuant to clause (4) shall be remedied or cured by the Company or the relevant Significant Subsidiary or waived by the holders of the relevant Indebtedness within 60 days after the declaration of acceleration with respect thereto. If an Event of Default specified in clause (5) or (6) above occurs with respect to the Company, the principal of, premium, if any, and accrued interest on the notes then outstanding shall automatically become and be immediately due and payable without any declaration or other act on the part of the Trustee or any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principal amount of the outstanding notes, by written notice to the Company and to the Trustee, may waive all past defaults and rescind and annul a declaration of acceleration and its consequences if (x) all existing Events of Default, other than the nonpayment of the principal of, premium, if any, and accrued interest on the notes that have become due solely by such declaration of acceleration, have been cured or waived and (y) the rescission would not conflict with any judgment or decree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 A holder of notes may not pursue any remedy with respect to the indenture or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outstanding notes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offer the Trustee indemnity satisfactory to the Trustee against any costs, liability or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the outstanding notes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such limitations do not apply to the right of any holder of a note to receive payment of the principal of or premium, if any, or interest on, such note, or to bring suit for the enforcement of any such payment, on or after the due date expressed in the notes,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Officers of the Company must certify, on or before a date not more than 90 days after the end of each fiscal year, that a review has been conducted of the activities of the Company and its Restricted Subsidiaries and the Company’s and its Restricted Subsidiaries’ performance under the indenture and that the Company and its Restricted Subsidiaries have fulfilled all obligations thereunder, or, if there has been a default in the fulfillment of any such obligation, specifying each such default and the nature and status thereof. The Company will also be obligated to notify the Trustee of any default or defaults in the performance of any covenants or agreements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subject to defeasance and discharge, and the covenants set forth above under “—Purchase upon a Change of Control Triggering Event,” “—Certain Covenants—Limitation on Liens” and “—Certain Covenants—Limitation on Sale/Leaseback Transactions” and “—Certain Covenants—Consolidation, Merger and Sale of Assets” and “—Certain Covenants—Reports” will be subject to covenant defeasance, as set forth in the indenture. See “Description of Debt Securities—Discharge, Defeasance and Covenant Defeasance”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47631_11"/>
      <w:bookmarkEnd w:id="11"/>
      <w:r>
        <w:rPr>
          <w:rFonts w:ascii="Times New Roman" w:hAnsi="Times New Roman"/>
          <w:b/>
          <w:sz w:val="20"/>
        </w:rPr>
        <w:t xml:space="preserve">CERTAIN U.S. FEDERAL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certain U.S. federal income tax consequences and, in the case of a Non-U.S. Holder (as defined below), certain U.S. federal estate tax consequences, of owning and disposing of the notes. This summary does not discuss all of the aspects of U.S. federal income and estate taxation that may be relevant to you in light of your particular investment or other circumstances. This summary applies to you only if you are a beneficial owner of a note and you acquire the note for cash in this offering for a price equal to its “issue price” </w:t>
      </w:r>
      <w:r>
        <w:rPr>
          <w:rFonts w:ascii="Times New Roman" w:hAnsi="Times New Roman"/>
          <w:i/>
          <w:sz w:val="20"/>
        </w:rPr>
        <w:t xml:space="preserve">(i.e., </w:t>
      </w:r>
      <w:r>
        <w:rPr>
          <w:rFonts w:ascii="Times New Roman" w:hAnsi="Times New Roman"/>
          <w:sz w:val="20"/>
        </w:rPr>
        <w:t xml:space="preserve">the first price at which a substantial amount of the notes is sold for money to investors, other than to bond houses, brokers, or similar persons or organizations acting in the capacity of underwriters, placement agents or wholesalers), and you hold the note as a capital asset (generally, investment property).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special U.S. federal income or estate tax rules that may be applicable to certain categories of beneficial owners of the notes,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notes as part of a conversion, constructive sale, wash sale or other integrated transaction or a hedge, straddle or synthetic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any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U.S. expatriates or former citizens or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real estate investment trusts, regulated investment companies, S corporations, and shareholders of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that are tax-exempt for U.S. federal income tax purposes and retirement plans, individual retirement accounts and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pass-through entities, including partnerships and entities and arrangements classified as partnerships for U.S. federal income tax purposes, and beneficial owners of pass-through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 the notes for a price other than their issue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summary only addresses U.S. federal income tax consequences and, in the case of Non-U.S. Holders, U.S. federal estate tax consequences, and does not address other U.S. federal tax consequences, including, for example, gift tax consequences or the Medicare tax on certain investment income. This summary also does not address any U.S. state or local or non-U.S. income or other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notes, the U.S. federal income tax treatment of a partner in the partnership generally will depend on the status of the partner and the activities of the partnership. Entities or arrangements classified as partnerships for U.S. federal income tax purposes, and partners in such partnerships, should consult their own tax advisors regarding the U.S. federal income and estate tax consequences of owning and disposing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U.S. federal income and estate tax law, including the Internal Revenue Code of 1986, as amended (the “Code”), Treasury regulations, administrative rulings and judicial authority, all as in effect or in existence as of the date of this prospectus supplement. Subsequent developments in U.S. federal income and estate tax law, including changes in law or differing interpretations, which may be applied retroactively, could have a material effect on the U.S. federal income and estate tax consequences of owning and disposing of the notes as set forth in this summary. We cannot assure you that the Internal Revenue Service (the “IRS”) will not challenge one or more of the tax consequences described in this summary, and we have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obtained, nor do we intend to obtain, any ruling from the IRS or opinion of counsel with respect to the tax consequences of the ownership or disposition of the notes. Before you purchase notes, you should consult your own tax advisor regarding the particular U.S. federal, state and local and non-U.S. income and other tax consequences of owning and disposing of the notes that may be applicable to you.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applies to you only if you are a U.S. Holder. A “U.S. Holder” is a beneficial owner of a note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the source of that income;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that use an accrual method of accounting for U.S. federal income tax purposes are generally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U.S. Holders that use an accrual method of accounting for U.S. federal income tax purposes should consult with their tax advisors regarding the potential applicability of this rule to their particular situation. The remainder of this summary does not address the application of the foregoing rule.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your notes will be included in your gross income and taxed as ordinary interest income at the time such interest is accrued or received in accordance with your method of accounting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Sale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redemption, retirement, exchange or other taxable disposition (each a “disposition”) of your notes, you generally will recognize taxable gain or loss equal to the difference, if any,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amount realized on the disposition (less any amount attributable to accrued but unpaid stated interest on such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tax basis in such notes, which generally will be their cost.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amount realized on the disposition that is attributable to accrued but unpaid stated interest will be taxable as ordinary interest income to the extent not previously included in your gross income in the manner described above under “—Payments of Stated Interest”. Your gain or loss generally will be capital gain or loss. This capital gain or loss will be long-term capital gain or loss if, at the time of the disposition, you have held the notes for more than one year. Subject to limited exceptions, your capital losses cannot be used to offset your ordinary income. If you are a non-corporate U.S. Holder, under current law, your long-term capital gain generally is subject to a preferential rate of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requirements may apply to payments of stated interest on the notes and the proceeds of a disposition of the notes received by a U.S. Holder. </w:t>
      </w:r>
    </w:p>
    <w:p>
      <w:pPr>
        <w:pStyle w:val="TextBody"/>
        <w:bidi w:val="0"/>
        <w:spacing w:before="240" w:after="0"/>
        <w:jc w:val="left"/>
        <w:rPr>
          <w:rFonts w:ascii="Times New Roman" w:hAnsi="Times New Roman"/>
          <w:sz w:val="20"/>
        </w:rPr>
      </w:pPr>
      <w:r>
        <w:rPr>
          <w:rFonts w:ascii="Times New Roman" w:hAnsi="Times New Roman"/>
          <w:sz w:val="20"/>
        </w:rPr>
        <w:t xml:space="preserve">In general, “backup withholding” (currently at a rate of 24%) may apply to payments of stated interest on your notes and the proceeds of a disposition of your notes, if you fail to provide a correct taxpayer identification number or otherwise comply with the applicable requirements of the backup withholding rules and you do not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credited against your U.S. federal income tax liability (which may result in your being entitled to a refund of U.S. federal income tax), provided that the required information is timely provided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applies to you if you are a beneficial owner of a note and you are neither a U.S. Holder (as defined above) nor an entity or arrangement classified as a partnership for U.S. federal income tax purposes (a “Non-U.S.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(as defined below), U.S. federal withholding tax generally will not apply to payments of stated interest on your notes, under the “portfolio interest” exception of the Code,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stock entitled to vote within the meaning of section 871(h)(3) of the Code and the Treasury regulations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for U.S. federal income tax purposes that is related, directly or indirectly, to us through sufficient stock ownership (as provided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receiving interest described in section 881(c)(3)(A)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such stated interest is not effectively connected with your conduct of a trade or business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qualify for the “portfolio interest” exception, you will be required to provide a signed, written statement, on an IRS Form W-8BEN or W-8BEN-E (or other applicable form) which can reliably be associated with you, certifying under penalties of perjury that you are not a “United States person” within the meaning of the Code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withholding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clearing organization, bank or other financial institution that holds customers’ securities in the ordinary course of its trade or business and holds your notes on your behalf and that certifies to the applicable withholding agent under penalties of perjury that it, or the bank or financial institution between it and you, has received the signed, written statement described above from you and provides the applicable withholding agent with a copy of this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Treasury regulations provide alternative methods for satisfying the foregoing certification requirement. In addition, under these Treasury regulations, special rules apply to pass-through entities and this certification requirement may also apply to beneficial owners of pass-through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cannot satisfy the requirements of the “portfolio interest” exception described above, payments of stated interest made to you will be subject to 30% U.S. federal withholding tax unless you provide the applicable withholding agent with a properly executed (1) IRS Form W-8ECI (or other applicable form) stating that interest paid on the notes is not subject to withholding tax because it is effectively connected with your conduct of a trade or business within the United States or (2) IRS Form W-8BEN or W-8BEN-E (or other applicable form) claiming an exemption from or reduction in this withholding tax under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Any gain recognized upon a disposition of your notes (other than any amount representing accrued but unpaid stated interest, which is treated as described immediately above) generally will not be subject to U.S. federal withholding tax, subject to the discussions below regarding backup withholding and FATCA.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possible application of U.S. federal withholding tax discussed above, and subject to the discussions below regarding backup withholding and FATCA, you generally will not be subject to U.S. federal income tax on payments of principal of and stated interest on your notes, or on any gain realized from (or accrued stated interest treated as received in connection with) the disposition of your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stated interest payments (or disposition proceeds representing accrued stated interest), you cannot satisfy the requirements of the “portfolio interest” exception described above and are not otherwise exempt from tax under an applicable income tax treaty (and your U.S. federal income tax liability has not otherwise been fully satisfied through the U.S. federal withholding tax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gain, you are an individual who is present in the United States for 183 days or more during the taxable year of the disposition of your notes (but not treated as a resident of the United States under specific rules) and certain other conditions are met (in which case, except as otherwise provided by an applicable income tax treaty, the gain, which may be offset by U.S.-source capital losses, generally will be subject to a flat 30% U.S. federal income tax, even though you are not considered a resident of the United States under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stated interest (including disposition proceeds representing accrued stated interest) or gain is effectively connected with your conduct of a trade or business within the United States and, if required by an applicable income tax treaty, is attributable to a United States “permanent establishment” maintained by you.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engaged in a trade or business within the United States, and stated interest (including disposition proceeds representing accrued stated interest) or gain in respect of your notes is effectively connected with the conduct of such trade or business, the stated interest or gain generally will be exempt from the U.S. federal withholding tax as described above and instead will be subject to U.S. federal income tax on a net basis at regular graduated tax rates and in the manner applicable to a U.S. Holder (unless an applicable income tax treaty provides otherwise). In addition, if you are a corporation, you may be subject to a branch profits tax equal to 30% of your effectively connected earnings and profits for the taxable year, as adjusted for certain items, unless a lower rate applies to you under an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Backup withholding will not apply to payments of stated interest made on the notes to you, if you have provided to the applicable withholding agent the required certification that you are not a “United States person” within the meaning of the Code as described in “—U.S. Federal Withholding Tax” above, provided that the applicable withholding agent does not have actual knowledge or reason to know that you are a United States person. However, the applicable withholding agent may be required to report to the IRS and to you payments of stated interest on the notes and the amount of U.S. federal income tax, if any, withheld with respect to those payments. Copies of the information returns reporting such stated interest payments and any withholding may also be made available to the tax authorities in the country in which you reside under the provisions of a treaty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gross proceeds from the disposition of your notes may be subject, in certain circumstances discussed below, to information reporting and backup withholding (currently at a rate of 24%). If you sell your notes outside the United States through a non-U.S. office of a non-U.S. broker and the sales proceeds are paid to you outside of the United States, then the U.S. backup withholding and information reporting requirements generally will not apply to that payment. However, U.S. information reporting, but not backup withholding, will apply to a payment of sales proceeds, even if that payment is made outside the United States, if you sell your notes through a non-U.S. office of a broker that is a “United States person” (as defined in the Code) or has certain enumerated connections with the United States, unless the broker has documentary evidence in its files that you are not a United States person and certain other conditions are met or you otherwise establish an exemption. If you receive payment of the proceeds from a sale of your notes through a U.S. office of a broker, the payment will be subject to both U.S. backup withholding and information reporting unless you provide an IRS Form W-8BEN or W-8BEN-E (or other applicable form) certifying that you are not a United States person or you otherwise establish an exemption, provided that the broker does not have actual knowledge, or reason to know, that you are a United States person or that the conditions of any other exemption are not, in fact, satisfied.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 regarding application of the backup withholding rules to your particular circumstance and the availability of and procedure for obtaining an exemption from backup withholding. Backup withholding is not an additional tax and any amounts withheld under the backup withholding rules may be credited against your U.S. federal income tax liability (which may result in your being entitled to a refund of U.S. federal income tax), provided that the required information is timely provided to the IRS.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 applicable estate tax or other treaty, if you are a Non-U.S. Holder that is an individual and you are not a citizen or a resident of the United States (as specially defined for U.S. federal estate tax purposes) at the time of your death, your notes generally will not be subject to the U.S. federal estate tax, unless, at the time of your death: (i) you actually or constructively own 10% or more of the total combined voting power of all classes of our stock entitled to vote within the meaning of section 871(h)(3) of the Code and the Treasury regulations thereunder; or (ii) stated interest on your notes is effectively connected with your conduct of a trade or business within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and related Treasury guidance (collectively referred to as “FATCA”) impose U.S. federal withholding tax at a rate of 30% on payments to certain foreign entities of U.S.-source interest (including interest paid on the notes). This withholding tax applies to a foreign entity, whether acting as a beneficial owner or an intermediary, unless such foreign entity complies with (i) certain information reporting requirements regarding its U.S. account holders and/or its U.S. owners and (ii) in the case of a foreign financial institution, certain withholding obligations regarding certain payments to its account holders and certain other persons. Accordingly, the entity through which a U.S. Holder or a Non-U.S. Holder holds its notes will affect the determination of whether such withholding is required. In addition, an intergovernmental agreement between the United States and the entity’s jurisdiction may modify the FATCA requirements. Although withholding under FATCA would have applied to payments of gross proceeds from the sale, exchange, redemption or other taxable disposition of an obligation that produces U.S.-source interest on or after January 1, 2019, under proposed Treasury regulations that may be relied upon pending finalization, the withholding tax on gross proceeds would be eliminated and, consequently, FATCA withholding on gross proceeds is not currently expected to apply. We will not pay any additional amounts to U.S. Holders or Non-U.S. Holders in respect of any amounts withheld under FATCA. U.S. Holders that own their interests in a note through a foreign entity or intermediary, and Non-U.S. Holders, are encouraged to consult their tax advisors regarding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47631_12"/>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considerations associated with the purchase and holding of the notes, or any interest therein, by (i) “employee benefit plans” within the meaning of Section 3(3) of the Employee Retirement Income Security Act of 1974, as amended (“ERISA”) that are subject to Title I of ERISA, (ii)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 (iii) entities whose underlying assets are considered to include plan assets, of any of the foregoing described in clauses (i) and (ii) (each of the foregoing described in clauses (i), (ii) and (iii) referred to herein as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(each, a “Covered Plan”) and prohibit certain transactions involving the assets of a Covered Plan and its fiduciaries or other interested parties. Under ERISA and the Code, any person who exercises any discretionary authority or control over the administration of a Covered Plan or over the management or disposition of a Covered Plan’s assets, or who renders investment advice for a fee or other compensation to such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or any interest therein, using a portion of the assets of any Plan, a fiduciary should determine whether the investment is in accordance with the documents and instruments governing the Plan and the applicable provisions of ERISA, the Code or Similar Laws relating to a fiduciary’s duties to the Plan including, without limitation, the prudence, diversification, delegation of control and prohibited transaction provisions of ERISA, the Code and any other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with persons or entities who are “parties in interest,” within the meaning of ERISA, or “disqualified persons,” within the meaning of Section 4975 of the Code, unless an exemption is available. Those sections further prohibit a fiduciary from engaging in transactions in which a conflict of interest is deemed present. A party in interest or disqualified person (including a fiduciary) who engages in a non-exempt prohibited transaction may be subject to excise taxes and other penalties and liabilities under ERISA and/or the Code. In addition, the fiduciary of a Covered Plan that engages in such a non-exempt prohibited transaction may be subject to penalties and liabilities under ERISA and/or the Code. The acquisition and/or holding of the notes, or any interest therein, by a Covered Plan with respect to which we or the underwriters or any of their respective affiliates may be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the U.S. Department of Labor has issued prohibited transaction class exemptions, or “PTCEs,” that may provide exemptive relief for direct or indirect prohibited transactions resulting from the sale, purchase or holding of the notes, or any interest therein.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although there can be no assurance that all of the conditions of any such exemptions will be satisfied. In addition to the foregoing, Section 408(b)(17) of ERISA and Section 4975(d)(20) of the Code provide exemptions for certain transactions between a Covered Plan and a person that is a party in interest and/or a disqualified person (other than a fiduciary or an affiliate that, directly or indirectly, has or exercises any discretionary authority or control or renders any investment advice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Covered Plan assets involved in the transaction) solely by reason of providing services to the Covered Plan or by relationship to a service provider, provided that the Covered Plan has paid no more and received no less than adequate consideration in connection with the transaction. These exemptions do not, however, provide relief from the self-dealing prohibited transactions under ERISA and the Code. It should also be noted that even if the conditions specified in one or more of these exemptions are met, the scope of relief provided by these exemptions may not necessarily cover all acts involving the notes that might be construed as prohibited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Plans, including governmental plans (as defined in Section 3(32) of ERISA) and, if no election has been made under Section 410(d) of the Code, church plans (as defined in Section 3(33) of ERISA), and non-U.S. Plans (as defined in Section 4(b)(4) of ERISA), while generally not subject the fiduciary responsibility provisions of Title I of ERISA or to the prohibited transaction provisions of Title I of ERISA or Section 4975 of the Code, may be subject to Similar Laws that include similar requirements. Fiduciaries of any such Plans should consult with their advisors regarding the potential consequences of an investment in the notes, or any interest therein, under any applicable Similar Laws before purchasing any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or any interest therein, should not be purchased or held by any person investing “plan assets” of any Plan, unless such purchase and holding will not constitute or result in a non-exempt prohibited transaction under ERISA and/or the Code or a similar violation under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and/or holding a note, or any interest therein, each purchaser and subsequent transferee of a note, or any interest therein, will be deemed to have represented and warranted that either (i) such purchaser or subsequent transferee is not acquiring or holding the notes, or any interest therein, for or on behalf of, and no portion of the assets used by such purchaser or transferee to acquire or hold the notes, or any interest therein, constitutes assets of any Plan or (ii) the acquisition, holding and subsequent disposition of the notes, or any interest therein, by such purchaser or transferee will not constitute or result in a non-exempt prohibited transaction under Section 406 of ERISA or Section 4975 of the Code or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or holding the notes, or any interest therein, on behalf of, or with the assets of, any Plan, consult with their advisors regarding the potential applicability of ERISA, Section 4975 of the Code and any Similar Laws to such investment and whether an exemption would be applicable to the purchase and/or holding of the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shall be construed as a representation or recommendation that such an investment meets all relevant legal requirements with respect to investments by Plans generally or any particular Plan or that such an investment is appropriate or advisable for Plans generally or any particular Plan.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and holder of the notes, or any interest therein, has the exclusive responsibility for ensuring that its purchase and holding of the notes, or any interest therein, complies with the fiduciary responsibility rules of Title I of ERISA and does not violate the prohibited transaction rules of ERISA or Section 4975 of the Code or any applicable Similar Laws. Neither this discussion nor anything provided in this prospectus supplement is or is intended to be investment advice directed at any potential Plan purchasers or at Plan purchasers generally and such purchasers of any notes (or beneficial interests therein) should consult and rely on their own advisors as to whether an investment in the notes is suitable for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47631_13"/>
      <w:bookmarkEnd w:id="13"/>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PNC Capital Markets LLC, Truist Securities, Inc. and Wells Fargo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26"/>
        <w:gridCol w:w="615"/>
        <w:gridCol w:w="209"/>
        <w:gridCol w:w="1726"/>
        <w:gridCol w:w="63"/>
      </w:tblGrid>
      <w:tr>
        <w:trPr/>
        <w:tc>
          <w:tcPr>
            <w:tcW w:w="4326" w:type="dxa"/>
            <w:tcBorders/>
            <w:vAlign w:val="center"/>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15" w:type="dxa"/>
            <w:tcBorders/>
            <w:vAlign w:val="bottom"/>
          </w:tcPr>
          <w:p>
            <w:pPr>
              <w:pStyle w:val="TableContents"/>
              <w:bidi w:val="0"/>
              <w:spacing w:before="0" w:after="283"/>
              <w:jc w:val="left"/>
              <w:rPr/>
            </w:pPr>
            <w:r>
              <w:rPr/>
              <w:t>  </w:t>
            </w:r>
          </w:p>
        </w:tc>
        <w:tc>
          <w:tcPr>
            <w:tcW w:w="1935"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 of Notes</w:t>
            </w:r>
          </w:p>
        </w:tc>
        <w:tc>
          <w:tcPr>
            <w:tcW w:w="63"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61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72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61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61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61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61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1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72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72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and their controlling persons against certain liabilities in connection with this offering, including liabilities under the Securities Act of 1933, as amended,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notes to the public at the public offering price set forth on the cover page of this prospectus supplement and to certain dealers at such price less a concession not in excess of   % of the principal amount of the notes. The underwriters may allow, and those dealers may reallow, a concession not in excess of   % of the principal amount of the notes. After the initial offering, the public offering price, concession or any other term of the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approximately $   and are payable by us. </w:t>
      </w:r>
    </w:p>
    <w:p>
      <w:pPr>
        <w:pStyle w:val="TextBody"/>
        <w:bidi w:val="0"/>
        <w:spacing w:before="36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national securities exchange or for inclusion of the notes on any automated dealer quotation system. We have been advised by certain of the underwriters that they presently intend to make a market in the notes after completion of the offering. However, such underwriters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business day following the date of this prospectus supplement (such settlement being referred to as “T+  ”). Under Rule 15c6-1 under the Exchange Act, trades in the secondary market are required to settle in one business day, unless the parties to any such trade expressly agree otherwise. Accordingly, purchasers who wish to trade notes prior to the first business day preceding the delivery of the notes hereunder will be required, by virtue of the fact that the notes initially settle in T+  , to specify an alternate settlement arrangement at the time of any such trade to prevent a failed settlement. Purchasers of the notes who wish to trade the notes prior to the first business day preceding the date of delivery hereunder should consult their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we will not, for a period of 30 days after the date of this prospectus supplement, without first obtaining the prior written consent of PNC Capital Markets LLC, Truist Securities, Inc. and Wells Fargo Securities, LLC, directly or indirectly, issue, sell, offer to sell, grant any option for the sale of or otherwise dispose of, any debt securities that are substantially similar to the notes, except for the notes sold to the underwriters pursuant to the underwriting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or their respective affiliates are lenders under our 2025 Term Loan Facility and/or our Senior Credit Facility. As a result, such underwriters or such affiliates of the underwriters may receive at least 5% of the net proceeds from this offering to the extent such proceeds are used to repay borrowings under our 2025 Term Loan Facility or our Senior Credit Facility. See “Use of Proceeds.” Accordingly, this offering is being made in compliance with the requirements of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Because the notes to be offered will be rated investment grade, pursuant to Rule 5121, the appointment of a qualified independent underwriter is not necessary. Underwriters subject to Rule 5121 will not confirm sales of the notes to any account over which they exercise discretionary authority without the prior written approval of the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particular, Bank of America, N.A., an affiliate of BofA Securities, Inc., acts as administrative agent under the Senior Credit Facility, the 2025 Term Loan Facility and the 2026 Term Loan Facility, and certain of the underwriters or their affiliates also currently are lenders and/or serve as agents under the Senior Credit Facility, the 2025 Term Loan Facility and the 2026 Term Loan Facility. Underwriters or affiliates of the underwriters that are lenders under the 2025 Term Loan Facility or the Senior Credit Facility may receive a portion of the proceeds from this offering to the extent such proceeds are used to repay borrowings under our 2025 Term Loan Facility or our Senior Credit Facility. See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retail investor means a person who is one (or more) of: (i) a retail client as defined in point (11) of Article 4(1) of Directive 2014/65 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the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any other material in relation to this offering are only being distributed to and are only directed at (i) persons who are outside the United Kingdom or (ii) persons who are “qualified investors” as defined in paragraph 15 of Schedule 1 to the POATRs who are also (a) investment professionals falling within Article 19(5) of the Financial Services and Markets Act 2000 (Financial Promotion) Order 2005 (as amended, the “Order”) or (b) high net worth entities and other persons to whom they may lawfully be communicated falling within Article 49(2)(a) to (d) of the Order (all such persons together being referred to as “relevant persons”). This offering is only being made to, and the notes are only available to, and any solicitation, invitation, offer or agreement to deliver the notes or subscribe, purchase or otherwise acquire the notes, as applicable, will be engaged in only with relevant persons. Any person who is not a relevant person should not act or rely on this document or any of its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offering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47631_14"/>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Fried, Frank, Harris, Shriver &amp; Jacobson LLP, New York, New York, has acted as special counsel to us with respect to the offering of the notes and New York law. Certain legal matters with respect to the legality of the issuance of the notes will be passed upon for us by Holland &amp; Knight LLP, Miami, Florida. Certain legal matters in connection with the offering of the notes will be passed upon for the underwriters by Simpson Thacher &amp; Bartlett LLP, New York, New York. </w:t>
      </w:r>
    </w:p>
    <w:p>
      <w:pPr>
        <w:pStyle w:val="TextBody"/>
        <w:bidi w:val="0"/>
        <w:spacing w:before="480" w:after="0"/>
        <w:jc w:val="center"/>
        <w:rPr>
          <w:rFonts w:ascii="Times New Roman" w:hAnsi="Times New Roman"/>
          <w:b/>
          <w:sz w:val="20"/>
        </w:rPr>
      </w:pPr>
      <w:bookmarkStart w:id="15" w:name="supprom147631_15"/>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as of December 31, 2025 and 2024 and for the years ended December 31, 2025 and December 31, 2024 and management’s assessment of the effectiveness of internal control over financial reporting (which is included in Management’s Report on Internal Control over Financial Reporting) as of December 31, 2025 incorporated in this prospectus by reference to the Annual Report on Form 10-K for the year ended December 31, 2025 have been so incorporated in reliance on the report (which contains a paragraph relating to the effectiveness of internal control over financial reporting due to the exclusion of four entities (related to a July and a November acquisition in the Communications segment, an August acquisition in the Pipeline Infrastructure segment, and a December acquisition in the Clean Energy and Infrastructure segment) because they were acquired by the Company in purchase business combinations during 2025)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financial statement schedule of MasTec, Inc. as of December 31, 2023 and for the period ended December 31, 2023 incorporated by reference in this prospectus supplement have been so incorporated in reliance on the reports of BDO USA, P.C. (“BDO”), an independent registered public accounting firm, given on the authority of said firm as experts in auditing and accounting. BDO’s audit of the consolidated financial statements did not include the financial statements of IEA Energy Services, LLC and its subsidiaries, a wholly-owned subsidiary of MasTec, Inc., whose statements were audited by other auditors whose report was furnished to BDO, and BDO’s opinion on the consolidated financial statements, insofar as it relates to the amounts included for IEA Energy Services, LLC, is based solely on the report of such other auditors.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IEA Energy Services, LLC and its consolidated subsidiaries as of December 31, 2023 and for the year ended December 31, 2023 have been audited by Deloitte &amp; Touche LLP, an independent registered public accounting firm, as stated in their report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831975" cy="339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831975" cy="339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Debt Securities, 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and Stock Purchase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MasTec, Inc., a corporation incorporated under the laws of the State of Florida. This prospectus relates to the public offer and sale of common stock, preferred stock, depositary shares, debt securities, warrants, stock purchase contracts and stock purchase units that we may offer from time to time in one or more series. We and/or selling security holders may offer and sell the securities separately, together or as units, in separate classes or series, in amounts, at prices and on terms to be determined at the time of sale and set forth in a supplement to this prospectus. You should read this prospectus, the applicable prospectus supplement and other offering materials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and/or selling security holders may offer the securities from time to time through public or private transactions, and in the case of our common stock, on or off the New York Stock Exchange, at prevailing market prices or at privately negotiated prices. Sales may be made directly to purchasers or to or through agents, broker-dealers or underwriters. If any agents or underwriters are involved in the sale of any of these securities, the applicable prospectus supplement will set forth the names of the agents or underwriters and any applicable fees, commissions or discounts. Our net proceeds from the sale of securities will also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“MTZ.”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Before buying any offered securities, you should carefully consider the </w:t>
      </w:r>
      <w:hyperlink w:anchor="tx147631_3">
        <w:r>
          <w:rPr>
            <w:rStyle w:val="InternetLink"/>
            <w:rFonts w:ascii="Times New Roman" w:hAnsi="Times New Roman"/>
            <w:b/>
            <w:sz w:val="24"/>
          </w:rPr>
          <w:t>Risk Factors</w:t>
        </w:r>
      </w:hyperlink>
      <w:r>
        <w:rPr>
          <w:rFonts w:ascii="Times New Roman" w:hAnsi="Times New Roman"/>
          <w:b/>
          <w:sz w:val="24"/>
        </w:rPr>
        <w:t xml:space="preserve"> contained in this prospectus, beginning on page 3.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February 28,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
              <w:r>
                <w:rPr>
                  <w:rStyle w:val="InternetLink"/>
                  <w:rFonts w:ascii="Times New Roman" w:hAnsi="Times New Roman"/>
                  <w:sz w:val="20"/>
                </w:rPr>
                <w:t>IMPORTANT INFORMATION 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2">
              <w:r>
                <w:rPr>
                  <w:rStyle w:val="InternetLink"/>
                  <w:rFonts w:ascii="Times New Roman" w:hAnsi="Times New Roman"/>
                  <w:sz w:val="20"/>
                </w:rPr>
                <w:t>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4">
              <w:r>
                <w:rPr>
                  <w:rStyle w:val="InternetLink"/>
                  <w:rFonts w:ascii="Times New Roman" w:hAnsi="Times New Roman"/>
                  <w:sz w:val="20"/>
                </w:rPr>
                <w:t>OUR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6">
              <w:r>
                <w:rPr>
                  <w:rStyle w:val="InternetLink"/>
                  <w:rFonts w:ascii="Times New Roman" w:hAnsi="Times New Roman"/>
                  <w:sz w:val="20"/>
                </w:rPr>
                <w:t>DESCRIPTION OF COMMON AND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7">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0">
              <w:r>
                <w:rPr>
                  <w:rStyle w:val="InternetLink"/>
                  <w:rFonts w:ascii="Times New Roman" w:hAnsi="Times New Roman"/>
                  <w:sz w:val="20"/>
                </w:rPr>
                <w:t>DESCRIPTION OF STOCK PURCHASE CONTRACTS AND STOCK PURCHASE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1">
              <w:r>
                <w:rPr>
                  <w:rStyle w:val="InternetLink"/>
                  <w:rFonts w:ascii="Times New Roman" w:hAnsi="Times New Roman"/>
                  <w:sz w:val="20"/>
                </w:rPr>
                <w:t>SELLING SECURITY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47631_16">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47631_1"/>
      <w:bookmarkEnd w:id="16"/>
      <w:r>
        <w:rPr>
          <w:rFonts w:ascii="Times New Roman" w:hAnsi="Times New Roman"/>
          <w:b/>
          <w:sz w:val="20"/>
        </w:rPr>
        <w:t xml:space="preserve">IMPORTANT INFORMATION 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filed with the United States Securities and Exchange Commission, or the SEC. By using a shelf registration statement, we may sell any combination of the securities described in this prospectus from time to time in one or more offerings. The exhibits to our registration statement contain the full text of certain contracts and other important documents we have summarized in this prospectus. Because these summaries may not contain all the information that you may find important in deciding whether to purchase the securities we offer, you should review the full text of these documents. The registration statement and exhibits can be obtained from the SEC as indicated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we or the selling security holders may offer. Each time we sell securities, we will provide a supplement to this prospectus that contains specific information about the terms of the securities offered. The supplement may also add, update or change information contained in this prospectus. Before purchasing any securities, you should carefully read this prospectus, any supplement and any free writing prospectus related to the applicable securities that is prepared by us or on our behalf or that is otherwise authorized by us, together with the additional information described under the heading “Incorporation of Certain Documents by Reference” found on page 37.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the supplement to this prospectus and any free writing prospectus related to the applicable securities that is prepared by us or on our behalf or that is otherwise authorized by us. Neither we nor the selling security holders have authorized any other person to provide you with additional or different information. If anyone provides you with additional, different or inconsistent information, you should not rely on it. Neither we nor the selling security holders will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 holders will use this prospectus to offer and sell securities unless it is accompanied by a supplement that more fully describes the securities being offered and the terms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47631_2"/>
      <w:bookmarkEnd w:id="17"/>
      <w:r>
        <w:rPr>
          <w:rFonts w:ascii="Times New Roman" w:hAnsi="Times New Roman"/>
          <w:b/>
          <w:sz w:val="20"/>
        </w:rPr>
        <w:t xml:space="preserve">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this statement pursuant to the safe harbor provisions for forward-looking statements described in the Private Securities Litigation Reform Act of 1995. We make statements in this prospectus and in the documents that we incorporate by reference into this prospectus that are forward-looking. Forward-looking statements are predictions, projections and other statements about future events that are based on current expectations and assumptions and, as a result, are subject to risks and uncertainties. Forward-looking statements can be identified by the fact that they do not relate strictly to historical or current facts. The use of words such as “anticipate,” “estimate,” “could,” “should,” “may,” “might,” “plan,” “seek,” “expect,” “believe,” “intend,” “target,” “will,” “would,” “project,” “forecast,” “continue” and variations of these words and negatives thereof and similar expressions are intended to identify forward-looking statements. 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included or incorporated by reference in this prospectus. Additionally, many of these risks and uncertainties could be amplified by the effects of general economic and market conditions, including levels of inflation and market interest rates, geopolitical events, market uncertainty and/or volatility. They also include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strengths;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strategy and the trends we anticipate in the industries and economies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prospectus, in the documents that we incorporate by reference into this prospectus and in other documents that we file with the SEC. We do not undertake any obligation to publicly update or revise these forward-looking statements after the date of this prospectus to reflect future events or circumstances, except as required by applicable law. We qualify any and all of our forward-looking statements by these cautionary factors.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risks and uncertainties that affect our business in the “Risk Factors” section of this prospectus and in our Annual Reports on Form 10-K, Quarterly Reports on Form 10-Q and other documents filed by us from time to time with the SEC. These filings identify and address other important risks and uncertainties that could cause actual events and results to differ materially from those contained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issues and associated risks and uncertainties discussed in “Risk Factors” herein and in the reports that we incorporate herein by reference are not the only ones we may face. Additional issues may arise or become material as our business evolves. The risks and uncertainties associated with those additional issues could impair our business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47631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“Risk Factors” contained in our Annual Report on Form 10-K for the fiscal year ended December 31, 2024, which is incorporated by reference in this prospectus, and under similar headings in our subsequently filed quarterly reports on Form 10-Q and annual reports on Form 10-K, as well as the other risks and uncertainties described in any applicable prospectus supplement or free writing prospectus and in the other documents incorporated by reference in this prospectus. See the section entitled “Where You Can Find More Information” in this prospectus.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47631_4"/>
      <w:bookmarkEnd w:id="19"/>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and does not contain all the information that is important to you. You should carefully read this prospectus, any applicable prospectus supplement and the documents to which we have referred in “Incorporation of Certain Documents by Reference” on page 37 of this prospectus for information about us and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95 years. For the twelve month period ended December 31, 2024, we had an average of approximately 33,000 employees and 780 locations, and as of December 31, 2024, we had approximately 32,000 employees and 770 locations. We offer our services under the MasTec® and other service marks. </w:t>
      </w:r>
    </w:p>
    <w:p>
      <w:pPr>
        <w:pStyle w:val="TextBody"/>
        <w:bidi w:val="0"/>
        <w:spacing w:before="240" w:after="0"/>
        <w:jc w:val="left"/>
        <w:rPr>
          <w:rFonts w:ascii="Times New Roman" w:hAnsi="Times New Roman"/>
          <w:sz w:val="20"/>
        </w:rPr>
      </w:pPr>
      <w:r>
        <w:rPr>
          <w:rFonts w:ascii="Times New Roman" w:hAnsi="Times New Roman"/>
          <w:sz w:val="20"/>
        </w:rPr>
        <w:t xml:space="preserve">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w:t>
      </w:r>
    </w:p>
    <w:p>
      <w:pPr>
        <w:pStyle w:val="TextBody"/>
        <w:bidi w:val="0"/>
        <w:spacing w:before="240" w:after="0"/>
        <w:jc w:val="left"/>
        <w:rPr>
          <w:rFonts w:ascii="Times New Roman" w:hAnsi="Times New Roman"/>
          <w:sz w:val="20"/>
        </w:rPr>
      </w:pPr>
      <w:r>
        <w:rPr>
          <w:rFonts w:ascii="Times New Roman" w:hAnsi="Times New Roman"/>
          <w:sz w:val="20"/>
        </w:rPr>
        <w:t xml:space="preserve">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See the segment information set forth in the applicable notes to our consolidated financial statements that are filed with our periodic reports incorporated by reference, as described in “Incorporation of Certain Documents by Reference” on page 37 of this prospectus, for additional information regarding our segment reporting and significant customer concentrations. During the fourth quarter of 2024, we renamed our Oil and Gas segment as the Pipeline Infrastructure segment to better represent the nature of the segment’s operations, end markets and customer characteristics. There was no change to the composition of the segment or its historical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lifecycle, and other services for the energy and utilities industries. The Other segment includes certain equity investees, the services of which may vary from those provided by our primary segments, as well as other small business units with activities in certain international end-markets. </w:t>
      </w:r>
    </w:p>
    <w:p>
      <w:pPr>
        <w:pStyle w:val="TextBody"/>
        <w:bidi w:val="0"/>
        <w:spacing w:before="240" w:after="0"/>
        <w:jc w:val="left"/>
        <w:rPr>
          <w:rFonts w:ascii="Times New Roman" w:hAnsi="Times New Roman"/>
          <w:sz w:val="20"/>
        </w:rPr>
      </w:pPr>
      <w:r>
        <w:rPr>
          <w:rFonts w:ascii="Times New Roman" w:hAnsi="Times New Roman"/>
          <w:sz w:val="20"/>
        </w:rPr>
        <w:t>We are incorporated under the laws of the State of Florida. Our principal executive offices are located at 800 S. Douglas Road, 12th Floor, Coral Gables, Florida 33134. Our telephone number is (305) 599-1800.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47631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b/>
          <w:sz w:val="20"/>
        </w:rPr>
      </w:pPr>
      <w:r>
        <w:rPr>
          <w:rFonts w:ascii="Times New Roman" w:hAnsi="Times New Roman"/>
          <w:b/>
          <w:sz w:val="20"/>
        </w:rPr>
        <w:t xml:space="preserve">Primary Offerings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we expect to use the net proceeds of the sale of these securities for general corporate purposes, which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assets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indebtedness outstanding at that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such offering and will be described in the related supplement 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Offerings </w:t>
      </w:r>
    </w:p>
    <w:p>
      <w:pPr>
        <w:pStyle w:val="TextBody"/>
        <w:bidi w:val="0"/>
        <w:spacing w:before="120" w:after="0"/>
        <w:jc w:val="left"/>
        <w:rPr>
          <w:rFonts w:ascii="Times New Roman" w:hAnsi="Times New Roman"/>
          <w:sz w:val="20"/>
        </w:rPr>
      </w:pPr>
      <w:r>
        <w:rPr>
          <w:rFonts w:ascii="Times New Roman" w:hAnsi="Times New Roman"/>
          <w:sz w:val="20"/>
        </w:rPr>
        <w:t xml:space="preserve">The details of any secondary offerings will be set forth in an applicable prospectus supplement, and we will not receive any proceeds from any selling security holder’s sale of our securities registered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47631_6"/>
      <w:bookmarkEnd w:id="21"/>
      <w:r>
        <w:rPr>
          <w:rFonts w:ascii="Times New Roman" w:hAnsi="Times New Roman"/>
          <w:b/>
          <w:sz w:val="20"/>
        </w:rPr>
        <w:t xml:space="preserve">DESCRIPTION OF COMMON AND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certain material terms and provisions of our capital stock. It does not purport to be complete, however, and is qualified in its entirety by reference to Florida law and by the actual terms and provisions contained in our Amended and Restated Articles of Incorporation and our Amended and Restated Bylaws, each as amended to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issue up to 145,000,000 shares of common stock, par value $0.10 per share, and 5,000,000 shares of preferred stock, par value $1.00 per share. As of February 24, 2025, we had 79,291,828 shares of common stock and no shares of preferred stock issued and outstanding. All issued and outstanding shares of our common stock are duly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set forth certain general terms and provisions of our common and preferred stock to which a supplement to this prospectus may relate. The particular terms of the shares of common or preferred stock being offered and the extent to which the general provisions may apply will be described in the applicable supplement to this prospectus. If so indicated in the applicable supplement to this prospectus, the terms of any series of shares of preferred stock may differ from the terms set forth below, except with respect to those terms required by our Amended and Restated Articles of Incorporation and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Description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common stock entitles its owner to one vote on all matters submitted to a vote of our shareholders. The holders of our common stock are entitled to receive dividends, when, as and if declared by our Board of Directors, in its discretion, from funds legally available for the payment of dividends. If we liquidate or dissolve, the owners of our common stock will be entitled to share proportionately in our assets, if any, legally available for distribution to shareholders, but only after we have paid all of our debts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has no preemptive rights, no sinking fund provisions and no subscription, redemption or conversion privileges, and it is not subject to any further calls or assessments by us. Our common stock does not have cumulative voting rights, which means that the holders of a plurality of the outstanding shares of our common stock voting for the election of directors can elect all members of our Board of Directors eligible for election in any year. See “—Material Provisions of our Articles of Incorporation and Bylaws.” Additionally, the vote or concurrence of our shareholders holding a majority in interest of our common stock is sufficient for certain other actions that require the vote or concurrence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Jorge Mas, our Chairman, and José Mas, our Chief Executive Officer, together with certain family partnerships and trusts, beneficially own approximately 23% of our issued and outstanding shares of common stock. Consequently, they have the power to control our management and affairs and are in a position to substantially influence: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of most matters submitted to our shareholders, including any merger,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nomination of individuals to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Mas family’s ability to exercise significant control over our management and affairs may discourage, delay or prevent a takeover attempt that you might consider in your best interest and that might result in you receiving a premium for your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Description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authorize our Board of Directors, without further shareholder approval,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preferred stock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number of shares to be included in each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designations, powers, preferences and rights of the shares of each series and any qualifications, limitations or restrictions on those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establish a class or series of preferred stock with preferences, powers and rights (including voting rights) senior to the rights of the holders of shares of our common stock. If we issue any of our preferred stock, the terms thereof may have the effect of delaying, deferring or preventing a change in control.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Provisions of Our Articles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Incorporation and our Amended and Restated Bylaws contain material provisions that may make the acquisition of control of us more difficult. </w:t>
      </w:r>
    </w:p>
    <w:p>
      <w:pPr>
        <w:pStyle w:val="TextBody"/>
        <w:bidi w:val="0"/>
        <w:spacing w:before="240" w:after="0"/>
        <w:jc w:val="left"/>
        <w:rPr>
          <w:rFonts w:ascii="Times New Roman" w:hAnsi="Times New Roman"/>
          <w:sz w:val="20"/>
        </w:rPr>
      </w:pPr>
      <w:r>
        <w:rPr>
          <w:rFonts w:ascii="Times New Roman" w:hAnsi="Times New Roman"/>
          <w:i/>
          <w:sz w:val="20"/>
        </w:rPr>
        <w:t>Business Combinations</w:t>
      </w:r>
      <w:r>
        <w:rPr>
          <w:rFonts w:ascii="Times New Roman" w:hAnsi="Times New Roman"/>
          <w:sz w:val="20"/>
        </w:rPr>
        <w:t xml:space="preserve">. Our Amended and Restated Articles of Incorporation contain material provisions which may make it more difficult for a person or entity that is the holder of more than 10% of our outstanding voting stock to force us to approve a “business combination.” For purposes of this discussion, a “business combination” includes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or consolidation of us with or into another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or lease of all or any substantial part of our property and assets;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our securities in exchange for sale or lease to us of property and assets having an aggregate fair market value of $1 million or more.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Articles of Incorporation require at least 80% of the voting power of all of our outstanding shares entitled to vote in the election of directors, voting together as a single class, to vote in favor of a business combination with any person or entity that is directly or indirectly the holder of more than 10% of our outstanding voting stock in order for that transaction to be approved. This voting requirement may have the effect of delaying, deferring or preventing a change in control of us. However, this voting requirement is not applicable to business combinations if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has approved a memorandum of understanding with the other corporation with respect to the transaction prior to the time that the other corporation became a holder of more than 10% of our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proposed by a corporation of which we are the majority owner. </w:t>
            </w:r>
          </w:p>
        </w:tc>
      </w:tr>
    </w:tbl>
    <w:p>
      <w:pPr>
        <w:pStyle w:val="TextBody"/>
        <w:bidi w:val="0"/>
        <w:spacing w:before="240" w:after="0"/>
        <w:jc w:val="left"/>
        <w:rPr>
          <w:rFonts w:ascii="Times New Roman" w:hAnsi="Times New Roman"/>
          <w:sz w:val="20"/>
        </w:rPr>
      </w:pPr>
      <w:r>
        <w:rPr>
          <w:rFonts w:ascii="Times New Roman" w:hAnsi="Times New Roman"/>
          <w:i/>
          <w:sz w:val="20"/>
        </w:rPr>
        <w:t>Classified Board of Directors and Related Provisions</w:t>
      </w:r>
      <w:r>
        <w:rPr>
          <w:rFonts w:ascii="Times New Roman" w:hAnsi="Times New Roman"/>
          <w:sz w:val="20"/>
        </w:rPr>
        <w:t xml:space="preserve">. Our Amended and Restated Bylaws provide that the number of our directors will be established from time to time by a majority vote of our Board of Directors or our shareholders. Our Amended and Restated Bylaws also provide that our Board of Directors will be divided into three classes of directors, with each class having a number of directors as nearly equal as possible to each other class and that directors will serve for staggered three-year terms. As a result, one-third of our Board of Directors will be elected each year. These classified board provisions could prevent a party who acquires control of a majority of our outstanding voting stock from obtaining control of the Board of Directors until the second annual shareholders meeting following the date on which the acquirer obtains its controlling interest. Additionally, our Board of Directors’ Governance Principles include a director majority vote policy. The majority vote policy is applicable solely to uncontested elections, which are those elections in which the number of nominees for election is less than or equal to the number of directors to be elected. Under the majority vote policy,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 for director who receives more “withheld” votes than “for” votes in an uncontested election must submit a written offer to resign as director. Any such resignation will be reviewed by our Nominating, Sustainability and Corporate Governance Committee, and, within 90 days after the election, the independent members of the Board of Directors will determine whether to accept, reject or take other appropriate action with respect to the resignation in furtherance of the best interests of us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may remove any of our directors or our entire Board of Directors if the votes in favor of removal constitute at least a majority of all of our outstanding voting stock entitled to vote. However, our Amended and Restated Bylaws also provide that our shareholders may only remove our directors for “cause” and only by a vote at a meeting that is called for the purpose of removing the director or directors. Our Amended and Restated Bylaws define “cause” as failing to substantially perform one’s duties to us (other than as a result of incapacity due to physical or mental illness) or willfully engaging in gross misconduct injurious to us. If there is a vacancy on our Board of Directors, a majority of either our remaining directors or our shareholders may fill the vacancy. </w:t>
      </w:r>
    </w:p>
    <w:p>
      <w:pPr>
        <w:pStyle w:val="TextBody"/>
        <w:bidi w:val="0"/>
        <w:spacing w:before="240" w:after="0"/>
        <w:jc w:val="left"/>
        <w:rPr>
          <w:rFonts w:ascii="Times New Roman" w:hAnsi="Times New Roman"/>
          <w:sz w:val="20"/>
        </w:rPr>
      </w:pPr>
      <w:r>
        <w:rPr>
          <w:rFonts w:ascii="Times New Roman" w:hAnsi="Times New Roman"/>
          <w:i/>
          <w:sz w:val="20"/>
        </w:rPr>
        <w:t>Shareholder Action By Written Consent</w:t>
      </w:r>
      <w:r>
        <w:rPr>
          <w:rFonts w:ascii="Times New Roman" w:hAnsi="Times New Roman"/>
          <w:sz w:val="20"/>
        </w:rPr>
        <w:t xml:space="preserve">. Our Amended and Restated Bylaws provide that any actions which our shareholders may take at a shareholders’ meeting can be taken by written consent in lieu of a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effect a shareholder action by written consent in lieu of a meeting, holders of our outstanding voting stock, having at least the minimum number of votes that would be necessary to authorize the action at a shareholders’ meeting, must sign a written consent which states the action to be taken. If our shareholders take any action by written consent in lieu of a meeting, we must notify all of our shareholders that did not consent to the action in writing within 10 days after receiving the written consent and describe the action to them and whether dissenters’ rights are available. </w:t>
      </w:r>
    </w:p>
    <w:p>
      <w:pPr>
        <w:pStyle w:val="TextBody"/>
        <w:bidi w:val="0"/>
        <w:spacing w:before="24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Our Amended and Restated Articles of Incorporation and/or Amended and Restated Bylaws provide that we will indemnify each of our directors and officers to the fullest extent permitted by law. Our Amended and Restated Bylaws permit us to purchase insurance on behalf of our directors, officers, employees and agents and directors, officers, employees or agents of another corporation, partnership, joint venture, trust or other enterprise, serving as such at our request, against liabilities that they may incur in those capacities, whether or not we would have the power to indemnify them against such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Florida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As a Florida corporation, we are subject to certain anti-takeover provisions that apply to public corporations under Florida law. Pursuant to Section 607.0901 of the Florida Business Corporation Act, or the Florida Act, a publicly held Florida corporation may not engage in a broad range of business combinations or other extraordinary corporate transactions with an interested shareholder for a period of three years following the time that such shareholder became an interested shareholder unless (A) prior to the time that such shareholder became an interested shareholder, the board of directors approved the affiliated transaction or the transaction which resulted in the shareholder becoming an interested shareholder, (B) upon consummation of the transaction which resulted in the shareholder becoming an interested shareholder, the interested shareholder owned at least 85% of the voting shares of the corporation outstanding at the time the transaction commenced, excluding for purposes of determining the voting shares outstanding, but not the outstanding voting shares owned by the interested shareholder, those shares owned by persons who are directors and also officers and by employee stock plans in which employee participants do not have the right to determine confidentially whether shares held subject to the plan will be tendered in a tender or exchange offer or (C) at or subsequent to the time that such shareholder became an interested shareholder, the affiliated transaction is approved by the board of directors and authorized at an annual or special meeting of shareholders, and not by written consent, by the affirmative vote of at least two-thirds of the voting shares of the corporation (excluding shares held by the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a majority of disinterested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not had more than 300 shareholders of record at any time during the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has beneficially owned at least 80% of the corporation’s outstanding voting shares for at least three years, preceding the announcement date of any such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shareholder is the beneficial owner of at least 90% of the outstanding voting shares of the corporation, exclusive of shares acquired directly from the corporation in a transaction not approved by a majority of the disinterested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paid to the holders of the corporation’s voting stock is at least equal to certain fair price criteria and certain other requirements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interested shareholder is defined, subject to certain exceptions, as a person who together with affiliates and associates beneficially owns more than 15% of a corporation’s outstanding voting shares. We have not made an election in our Amended and Restated Articles of Incorporation to opt out of Section 607.0901.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Section 607.0902 of the Florida Act which prohibits the voting of shares in a publicly held Florida corporation that are acquired in a control share acquisition unless, among other exceptions, (i) our Board of Directors approved such acquisition prior to its consummation or (ii) after such acquisition, in lieu of prior approval by our Board of Directors,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20% or more of the total voting power in an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47631_7"/>
      <w:bookmarkEnd w:id="22"/>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depositary shares, each of which will represent a fractional interest of a share of a particular class or series of our preferred stock, as specified in the applicable prospectus supplement which will more fully describe the terms of those depositary shares. Shares of a class or series of preferred stock represented by depositary shares will be deposited under a separate deposit agreement among us, the depositary named therein and the holders from time to time of the depositary receipts issued by the preferred stock depositary which will evidence the depositary shares. Subject to the terms of the deposit agreement, each owner of a depositary receipt will be entitled, in proportion to the fractional interest of a share of a particular class or series of preferred stock represented by the depositary shares evidenced by that depositary receipt, to all the rights and preferences of the class or series of preferred stock represented by those depositary shares (including dividend, voting, conversion, redemption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to be issued will be evidenced by depositary receipts issued pursuant to the applicable deposit agreement. Immediately following the issuance and delivery of a class or series of preferred stock by us to the preferred stock depositary, we will cause the preferred stock depositary to issue, on our behalf, the depositary receipts. The following description of the depositary shares, and any description of the depositary shares in a prospectus supplement, may not be complete and is subject to, and qualified in its entirety by reference to, the underlying deposit agreement and the depositary receipt, which we will file with the SEC at or prior to the time of the sale of the depositary shares. You should refer to, and read this summary together with, the deposit agreement and related depositary receipt. You can obtain copies of any form of deposit agreement or other agreement pursuant to which the depositary shares are issued by following the directions described under the caption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will distribute all cash dividends or other cash distributions received in respect of a class or series of preferred stock to the record holders of depositary receipts evidencing the related depositary shares in proportion to the number of those depositary receipts owned by those holders, subject to certain obligations of holders to file proofs, certificates and other information and to pay certain charges and expenses to the preferred stock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distribution other than in cash, the preferred stock depositary will distribute property received by it to the record holders of depositary receipts entitled thereto, subject to certain obligations of holders to file proofs, certificates and other information and to pay certain charges and expenses to the preferred stock depositary, unless the preferred stock depositary determines that it is not feasible to make that distribution, in which case the preferred stock depositary may, with our approval, sell that property and distribute the net proceeds from that sale to those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the depositary receipts at the corporate trust office of the preferred stock depositary (unless the related depositary shares have previously been called for redemption or converted into excess preferred stock or otherwise), the holders thereof will be entitled to delivery at that office, to or upon that holder’s order, of the number of whole or fractional shares of the class or series of preferred stock and any money or other property represented by the depositary shares evidenced by those depositary receipts. Holders of depositary receipts will be entitled to receive whole or fractional shares of the related class or series of preferred stock on the basis of the proportion of preferred stock represented by each depositary share as specified in the applicable prospectus supplement, but holders of those shares of preferred stock will not thereafter be entitled to receive depositary shares therefor. If the depositary receipts delivered by the holder evidence a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shares in excess of the number of depositary shares representing the number of shares of preferred stock to be withdrawn, the preferred stock depositary will deliver to that holder at the same time a new depositary receipt evidencing the excess number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a class or series of preferred stock held by the preferred stock depositary, the preferred stock depositary will redeem as of the same redemption date the number of depositary shares representing shares of the class or series of preferred stock so redeemed, provided we shall have paid in full to the preferred stock depositary the redemption price of the preferred stock to be redeemed plus an amount equal to any accrued and unpaid dividends thereon to the date fixed for redemption. The redemption price per depositary share will be equal to the corresponding proportion of the redemption price and any other amounts per share payable with respect to that class or series of preferred stock. If fewer than all the depositary shares are to be redeemed, the depositary shares to be redeemed will be selected pro rata (as nearly as may be practicable without creating fractional depositary shares) or by any other equitable method determined by us that will not result in the issuance of any excess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date fixed for redemption, all dividends in respect of the shares of a class or series of preferred stock so called for redemption will cease to accrue, the depositary shares so called for redemption will no longer be deemed to be outstanding and all rights of the holders of the depositary receipts evidencing the depositary shares so called for redemption will cease, except the right to receive any moneys payable upon their redemption and any money or other property to which the holders of those depositary receipts were entitled upon their redemption and surrender thereof to the preferred stock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a class or series of preferred stock deposited with the preferred stock depositary are entitled to vote, the preferred stock depositary will mail the information contained in that notice of meeting to the record holders of the depositary receipts evidencing the depositary shares which represent that class or series of preferred stock. Each record holder of depositary receipts evidencing depositary shares on the record date (which will be the same date as the record date for that class or series of preferred stock) will be entitled to instruct the preferred stock depositary as to the exercise of the voting rights pertaining to the amount of preferred stock represented by that holder’s depositary shares. The preferred stock depositary will vote the amount of that class or series of preferred stock represented by those depositary shares in accordance with those instructions, and we will agree to take all reasonable action which may be deemed necessary by the preferred stock depositary in order to enable the preferred stock depositary to do so. The preferred stock depositary will abstain from voting the amount of that class or series of preferred stock represented by those depositary shares to the extent it does not receive specific instructions from the holders of depositary receipts evidencing those depositary shares. The preferred stock depositary shall not be responsible for any failure to carry out any instruction to vote, or for the manner or effect of any vote made, as long as that action or non-action is in good faith and does not result from negligence or willful misconduct of the preferred stock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whether voluntary or involuntary, the holders of each depositary receipt will be entitled to the fraction of the liquidation preference accorded each share of preferred stock represented by the depositary shares evidenced by that depositary receipt,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series of preferred stock underlying the depositary shares is subject to conversion or exchange, the applicable prospectus supplement will describe the rights or obligations of each record holder of depositary receipts to convert or exchange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us and the preferred stock depositary. However, any amendment that materially and adversely alters the rights of the holders of depositary receipts or that would be materially and adversely inconsistent with the rights granted to the holders of the related class or series of preferred stock will not be effective unless that amendment has been approved by the existing holders of at least two thirds of the depositary shares evidenced by the depositary receipts then outstanding. No amendment shall impair the right, subject to certain exceptions in the deposit agreement, of any holder of depositary receipts to surrender any depositary receipt with instructions to deliver to the holder the related class or series of preferred stock and all money and other property, if any, represented thereby, except in order to comply with law. Every holder of an outstanding depositary receipt at the time any of those types of amendments becomes effective shall be deemed, by continuing to hold that depositary receipt, to consent and agree to that amendment and to be bound by the deposit agreement as amended thereby.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upon not less than 30 days’ prior written notice to the preferred stock depositary if a majority of each class or series of preferred stock subject to that deposit agreement consents to that termination, whereupon the preferred stock depositary shall deliver or make available to each holder of depositary receipts, upon surrender of the depositary receipts held by that holder, that number of whole or fractional shares of each class or series of preferred stock as are represented by the depositary shares evidenced by those depositary receipts together with any other property held by the preferred stock depositary with respect to those depositary receipts. Additionally,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issued thereunder shall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been a final distribution in respect of each class or series of preferred stock subject to that deposit agreement in connection with our liquidation, dissolution or winding up and that distribution shall have been distributed to the holders of depositary receipts evidencing the depositary shares representing that class or series of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preferred stock subject to that deposit agreement shall have been converted into our stock not so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Charges of Preferred Stock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preferred stock depositary in connection with the performance of its duties under the deposit agreement. However, holders of depositary receipts will pay the fees and expenses of the preferred stock depositary for any duties requested by those holders to be performed which are outside of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Preferred Stock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may resign at any time by delivering notice to us of its election to do so, and we may at any time remove the preferred stock depositary, that resignation or removal to take effect upon the appointment of a successor preferred stock depositary. A successor preferred stock depositary must be appointed within 60 days after delivery of the notice of resignation or removal and must be a bank or trust company having its principal office in the United States and having a combined capital and surplus of at least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depositary will forward to holders of depositary receipts any reports and communications from us which are received by it with respect to the related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preferred stock depositary will be liable if it is prevented from or delayed in, by law or any circumstances beyond its control, performing its obligations under the deposit agreement. Our obligations and those of the preferred stock depositary under the deposit agreement will be limited to performing our respective duties thereunder in good faith and without negligence (in the case of any action or inaction in the voting of a class or series of preferred stock represented by the depositary shares), gross negligence or willful misconduct, and neither we nor the preferred stock depositary will be obligated to prosecute or defend any legal proceeding in respect of any depositary receipts, depositary shares or shares of a class or series of preferred stock represented thereby unless satisfactory indemnity is furnished. We and the preferred stock depositary may rely on written advice of counsel or accountants, or information provided by persons presenting shares of a class or series of preferred stock represented thereby for deposit, holders of depositary receipts or other persons believed in good faith to be competent to give that information, and on documents believed in good faith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preferred stock depositary shall receive conflicting claims, requests or instructions from any holders of depositary receipts, on the one hand, and us, on the other hand, the preferred stock depositary shall be entitled to act on those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47631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senior debt securities under that certain Indenture dated June 5, 2009, by and among us, certain of our subsidiaries and U.S. Bank Trust Company, National Association, as trustee, and we may issue subordinated debt securities under an indenture between us and a U.S. banking institution, as the indenture trustee. Each indenture will be subject to, and governed by, the Trust Indenture Act of 1939, as amended, and we may supplement the indentures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summarizes the material provisions of the indentures and the debt securities that we may issue under the indentures. This summary is not complete and may not describe all of the provisions of the indentures or of any of the debt securities that might be important to you. For additional information, you should carefully read the forms of indenture that are incorporated by reference as exhibits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we will describe the specific terms of those debt securities in a supplement to this prospectus. We will also indicate in the supplement whether the general terms in this prospectus apply to a particular series of debt securities. Accordingly, for a description of the terms of a particular issue of debt securities, you should carefully read both this prospectus and the applicable supplement. </w:t>
      </w:r>
    </w:p>
    <w:p>
      <w:pPr>
        <w:pStyle w:val="TextBody"/>
        <w:bidi w:val="0"/>
        <w:spacing w:before="240" w:after="0"/>
        <w:jc w:val="left"/>
        <w:rPr>
          <w:rFonts w:ascii="Times New Roman" w:hAnsi="Times New Roman"/>
          <w:sz w:val="20"/>
        </w:rPr>
      </w:pPr>
      <w:r>
        <w:rPr>
          <w:rFonts w:ascii="Times New Roman" w:hAnsi="Times New Roman"/>
          <w:sz w:val="20"/>
        </w:rPr>
        <w:t xml:space="preserve">In the summary below, we have included references to the section numbers of the indentures so that you can easily locate the related provisions in the indentures for additional detail. You should also refer to the applicable indenture for the definitions of any capitalized terms that we use below but do not define in this prospectus. When we refer to particular sections of the indentures or to defined terms in the indentures, we intend to incorporate by reference those sections and defined terms into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our direct obligations. The amount of debt securities we may offer under this prospectus is unlimited as to principal amount. We may issue the debt securities, from time to time and in one or more series, established in or pursuant to authority granted by one or more resolutions of our board of directors, and set forth in, or determined in the manner provided in, an officers’ certificate, or established in one or more supplemental indentures. We may issue debt securities with terms different from those of our previously issued debt securities (Section 301). In the event that debt securities offered by us are to be guaranteed, we will file a post-effective amendment to the registration statement of which this prospectus is a part setting forth the identity of any guarantors.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there may be more than one trustee under such indenture, each such trustee with respect to one or more series of debt securities. Any trustee under the indentures may resign or be removed with respect to one or more series of debt securities, and a successor trustee may be appointed to act with respect to that series (Sections 608 and 609). If two or more persons act as trustee with respect to different series of debt securities, each trustee shall be a trustee of a trust under that indenture separate and apart from the trust administered by any other trustee (Sections 101 and 609). Except as otherwise indicated in this prospectus, each trustee may take any action described in this prospectus only with respect to the one or more series of debt securities for which it is trustee under the relevant indenture. </w:t>
      </w:r>
    </w:p>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applicable supplement to this prospectus relating to a particular series of debt securities or the applicable post-effective amendment to the registration statement of which this prospectus forms a part for the specific terms of the debt securities,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whether the debt securities will be guaranteed and the identity of the guarantor or guarantors,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and any limit on the total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expressed as a percentage of the principal amount of the debt securities, at which we will issue the debt securities and any portion of the principal amount payable upon acceleration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by which holders of the debt securities may convert or exchange the debt securities for our common stock, our preferred stock or any of our other securities or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convertible or exchangeable, any limitations on the ownership or transferability of the securities or property into which holders may convert or exchange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we will be obligated to pay the principal of the debt securities and the amount of principal we will be obligated to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of the series will bear interest, if any, or the method by which the rate or rates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senior subordinated or subordinated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any interest will accrue on the debt securities, the dates on which we will be obligated to pay any interest, the regular record dates, if any, for the interest payments, or the method by which the dates will be determined, the persons to whom we will be obligated to pay interest and the basis upon which interest will be calculated, if other than that of a 360-day year consisting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premium, make-whole amount, interest or additional amounts on, the debt securities will be payable, where the holders of the debt securities may surrender their debt securities for conversion, transfer or exchange, and where the holders may serve notices or demands to us in respect of the debt securities and the indenture (Section 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or bearer form, and the terms and conditions relating to the form, and, if in registered form, the denominations in which we will issue the debt securities if other than $1,000 or a multiple of $1,000 and, if in bearer form, the denominations in which we will issue the debt securities if other than $5,000;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trustee of the debt securities of the series and, if other than the trustee, the identity of each security registrar and/or paying agent for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during which, the price or prices, including any premium at which, the currency or currencies in which, and the other terms and conditions upon which, we may redeem the debt securities at our option, if we have such an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that we have to redeem, repay or purchase debt securities under any sinking fund or similar provision or at the option of a holder of debt securities and the terms and conditions upon which we will redeem, repay or purchase all or a portion of the debt securities under that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we will sell the debt securities and in which the debt securities will be denominated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 of principal of, and any premium, make-whole amount or interest on, the debt securities of the series may be determined with reference to an index, formula or other method and the manner in which the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principal of, and any premium, make-whole amount, additional amounts or interest on, the debt securities of the series are to be payable, at our election or at the election of a holder of the debt securities, in a currency or currencies other than that in which the debt securities are denominated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to be payable, the period or periods during which, and the terms and conditions upon which, this election may be made, and the time and manner of, and identity of the exchange rate agent responsible for, determining the exchange rate between the currency or currencies in which the debt securities are denominated or stated to be payable and the currency or currencies in which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initial exchange rate agent, if any, or any depositaries;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of the series at the occurrence of named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additions to, modifications of or deletions from the terms of the debt securities with respect to the events of default or covenants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will be issued in certificated or book-entry form and the related terms and conditions, including whether any debt securities will be issued in temporary and/or permanent global form, and if so, whether the owners of interests in any permanent global debt security may exchange those interests for debt securities of that series and of like tenor of any authorized form and denomination and the circumstances under which any exchanges may occur, if other than in the manner provided in the indenture (Section 305), and, if debt securities of or within the series are to be issuable as a global debt security, the identity of the depositary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as of which any bearer securities, and/or temporary global debt security representing outstanding securities of or within the series will be dated if other than the date of original issuance of the first debt security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will be issued in definitive form only upon our receipt, or the trustee’s receipt, of certificates or other documents, or upon the satisfaction of conditions, a description of those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will be issued upon the exercise of debt warrants, the time, manner and place for the debt securities to be authenticated and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if any, of the defeasance and covenant defeasance provisions of the indenture, as described below under “Discharge, Defeasance and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United States federal income tax consequences, including whether and under what circumstances we will pay any additional amounts, as contemplated in the indenture on the debt securities, to any holder who is not a United States person in respect of any tax, assessment or governmental charge withheld or deducted and, if we will pay additional amounts, whether, and on what terms, we will have the option to redeem the debt securities in lieu of paying the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security provided for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covenant or warranty included for the benefit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proposed listing of the debt securities on any securities exchange or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or of any guarantees issued in connection with the debt securities not inconsistent with the provisions of the indenture (Section 301).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Original Issue Discount Securities or Indexed Securities (which are debt securities that provide for the payment of less than the principal amount thereof upon acceleration of maturity, or maturity, as applicable) and may be subject to special U.S. federal income tax, accounting and other considerations, which considerations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from time to time, with the principal amount payable on any principal payment date, or the amount of interest payable on any interest payment date, to be determined by reference to one or more currencies or currency exchange rates, commodity prices, equity indices or other factors. Holders of debt securities with these features may receive payment of a principal amount on any principal payment date, or a payment of interest on any interest payment date, that is greater than or less than the amount of principal or interest otherwise payable on the applicable dates, depending upon the value on those dates of the applicable currencies or currency exchange rates, commodity prices, equity indices or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as to the methods for determining the amount of principal or interest payable on any date, the currencies or currency exchange rates, commodity prices, equity indices or other factors to which the amount payable on that date is linked and additional tax considerations will be included in the applicable prospectus supplement. All debt securities of any one series will be substantially identical, except as to denomination and except as may otherwise be provided by an officers’ certificate or in any supplement to the applicable indenture. We are not required to issue all of the debt securities of a series at the same time, and, unless otherwise provided in the applicable indenture, supplemental indenture or officers’ certificate, we may re-open a series without the consent of the holders of the debt securities of that series to issue additional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contain any provisions that limit our ability to incur indebtedness or that would protect holders of debt securities in the event we become a party to a highly-leveraged or similar transaction in which we would incur or acquire a large amount of additional debt, but such provisions may appear in the applicable prospectus supplement. You should refer to the applicable prospectus supplement for information regarding any deletions from, modifications of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issue debt securities, such debt securities may be unconditionally and irrevocably guaranteed by us or certain of our subsidiaries that will be listed as guarantors in the applicable post-effective amendment to the registration statement, of which this prospectus forms a part, and any applicable prospectus supplement. Any guarantee would cover the timely payment of the principal of, and any premium, make-whole amount, interest or sinking fund payments on, the debt securities, whether we make the payment at a maturity date, as a result of acceleration or redemption or otherwise. We will more fully describe the existence and terms of any guarantee of any of our debt securities by us or our subsidiaries in the post-effective amendment and any applicable prospectus supplement relating to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Interest,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any debt securities of any series that we issue in registered form will be issued in denominations of $1,000 and multiples of $1,000, and debt securities of any series that we issue in bearer form will be issued in denominations of $5,000 (Section 302).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states otherwise, the principal of, and any premium, make-whole amount or interest on, any series of debt securities will be payable in the currency designated in the prospectus supplement at the corporate trust office of the trustee, initially, U.S. Bank Trust Company, National Association–Corporate Trust Services, 60 Livingston Avenue, St. Paul, MN 55107. At our option, however, payment of interest may be made by check mailed to the address of the person entitled to the interest payment as it appears in the security register for the series or by wire transfer of funds to that person at an account maintained within the United States (Sections 301, 305, 307 and 1002). We may at any time designate additional paying agents or rescind designation of any paying agents or approve a change in the office through which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paying agent acts, except that we will be required to maintain a paying agent in each place of payment for any series. All monies that we pay to a paying agent for the payment of any principal of, or any premium, make-whole amount, interest or additional amounts on, any debt security which remains unclaimed at the end of two years after that payment became due and payable will be repaid to us. After that time, the holder of the debt security will be able to look only to us for payment (Section 1003).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that we do not punctually pay on any interest payment date with respect to a debt security will cease to be payable to the holder on the applicable regular record date and may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paid to the holder at the close of business on a Special Record Date for the payment of defaulted interest, to be determined by the trustee (Sections 101 and 307);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paid at any time in any other lawful manner, as more fully described in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imposed upon debt securities issued in book-entry form, debt securities of any series will be exchangeable for other debt securities of the same series and of the same total principal amount and authorized denomination upon the surrender of the debt securities at the corporate trust office of the trustee. In addition, subject to certain limitations imposed upon debt securities issued in book-entry form, the debt securities of any series may be surrendered for conversion, transfer or exchange at the corporate trust office of the trustee. Every debt security surrendered for redemption, transfer or exchange must be duly endorsed or accompanied by a written instrument of transfer. There will be no service charge for any transfer or exchange of any debt securities, but we may require holders to pay any tax or other governmental charge payable in connection with the transfer or exchange (Section 305). </w:t>
      </w:r>
    </w:p>
    <w:p>
      <w:pPr>
        <w:pStyle w:val="TextBody"/>
        <w:bidi w:val="0"/>
        <w:spacing w:before="240" w:after="0"/>
        <w:jc w:val="left"/>
        <w:rPr>
          <w:rFonts w:ascii="Times New Roman" w:hAnsi="Times New Roman"/>
          <w:sz w:val="20"/>
        </w:rPr>
      </w:pPr>
      <w:r>
        <w:rPr>
          <w:rFonts w:ascii="Times New Roman" w:hAnsi="Times New Roman"/>
          <w:sz w:val="20"/>
        </w:rPr>
        <w:t xml:space="preserve">If the applicable prospectus supplement refers to us designating any transfer agent for any series of debt securities, in addition to the trustee, we may at any time remove the transfer agent or approve a change in the location at which the transfer agent acts, except that we will be required to maintain a transfer agent in each place of payment for any series of debt securities. We may at any time designate additional transfer agents with respect to any series of debt securities (Section 1002).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trustee will be required to do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debt securities of any series during a period beginning at the opening of business 15 days before there is a selection of debt securities of that series to be redeemed and ending at the close of business on the day of mailing or publication of the relevant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security, or portion thereof, called for redemption, except the unredeemed portion of any debt security being only partially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any debt security in bearer form that is selected for redemption, except that a debt security in bearer form may be exchanged for a debt security in registered form of that series and like denomination, provided that the debt security in registered form must be simultaneously surrendered for redemption;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register the transfer or exchange of any debt security that has been surrendered for repayment at the option of the holder, except the portion, if any, of the debt security that will not be partially or entirely repaid (Section 305).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the form of one or more fully registered global securities that will be deposited with a depositary or with a custodian for a depositary identified in the prospectus supplement relating to the series and registered in the name of the depositary or its nominee. In this case, we will issue one or more global securities in a denomination or total denominations equal to the portion of the total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outstanding registered debt securities of the series to be represented by the global security or securities. We expect that any global securities issued in the United States would be deposited with The Depositary Trust Company, as depositary or its custodian. We may issue any global securities in fully registered form on a temporary or permanent basis. Unless and until a global security is exchanged for debt securities in definitive registered form, a permanent global security may not be transferred except as a whole by the depositary to its nominee or by a nominee to the depositary or another nominee, or by the depositary or its nominee to a successor of the depositary or the successor depositary’s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depositary arrangement with respect to any series of debt securities to be represented by a registered global security will be described in the applicable prospectus supplement. We anticipate that the following provisions will apply to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that have accounts with, or are participants of, the depositary for the registered global security, or persons that may hold interests through participants. When we issue a registered global security, the depositary will credit, on its book-entry registration and transfer system, the participants’ accounts with the respective principal amounts of the debt securities represented by the global security owned by those participants. The accounts to be credited will be designated by any dealers, underwriters or agents participating in an offering of the debt securities, or by us or the trustee if we are directly offering the debt securities. The participants’ ownership, and any transfer, of a registered global security will be shown on records maintained by the depositary, and ownership of persons who hold debt securities through participants will be reflected on the records of the participants. State and federal laws may impair a person’s ability to own, transfer or pledge interests in a registered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the global security, the depositary or its nominee, as the case may be, will be considered the sole owner or holder of the debt securities represented by the global security for all purposes under the applicable indenture. Except as set forth below, owners of beneficial interests in a global security will not be entitled to have the debt securities represented by the registered global security registered in their names, will not receive or be entitled to receive physical delivery of the debt securities in definitive form and will not be considered the owners or holders of the debt securities under the applicable indenture. Accordingly, each person owning a beneficial interest in a registered global security must rely on the depositary’s procedures and, if that person is not a participant, on the procedures of the participant through which that person owns its interest to exercise any rights of a holder under the applicable indenture. We understand that under existing industry practices, if we request any action of holders or if an owner of a beneficial interest in a registered global security desires to give or take any action which a holder is entitled to give or take under the applicable indenture, the depositary would authorize the participants holding the relevant beneficial interests to give or take the action, and the participants would authorize beneficial owners owning through those participants to give or take the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any premium, make-whole amount, interest or additional amounts on a registered global security will be made to the depositary or its nominee, as the case may be, as the registered owners of the global security. Neither we, the trustee, the paying agent nor the registrar, nor any other agent of ours or of the trustee, will have any responsibility or liability for any aspect of the records relating to, or payments made on account of, beneficial ownership interests in the global security or for maintaining, supervising or reviewing any records relating to the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once the depositary receives any payment of principal of, any premium, make-whole amount, interest or additional amount on, a registered global security, the depositary will immediately credit participants’ accounts with payments in amounts proportionate to their respective beneficial interests in the global security, as shown on the records of the depositary. We also expect that payments by participants to owners of beneficial interests in the registered global security held through the participants will be governed by standing customer instructions and customary practices, as is now the case with the securities held for the accounts of customers in bearer form or registered in “street name,” and will be the responsibility of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depositary is at any time unwilling or unable to continue as depositary or ceases to be a clearing agency under the Securities Exchange Act of 1934, as amended, or the Exchange Act, and we do not appoint a successor depositary within 90 days, we will issue debt securities in definitive form in exchange for the registered global security. In addition, we may at any time and in our sole discretion decide not to have any of the debt securities of a series represented by one or more global securities, and, in such event, we will issue debt securities in definitive form in exchange for all of the global security or securities representing the debt securities. We will register any debt securities issued in definitive form in exchange for a global security in the name or names that the depositary provides to the trustee. We expect that those names will be based upon directions received by the depositary from participants with respect to ownership of beneficial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in bearer form may also be issued in the form of one or more global securities that will be deposited with a common depositary for Euroclear and Clearstream, or with a nominee for the depositary identified in the applicable prospectus supplement. We will describe in the applicable prospectus supplement the specific terms and procedures of the depositary arrangement, including the specific terms of the depositary arrangement and any specific procedures, for the issuance of debt securities in definitive form in exchange for a global security in bearer form, with respect to any portion of a series of debt securities to be represented by a global security in bearer form.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w:t>
      </w:r>
    </w:p>
    <w:p>
      <w:pPr>
        <w:pStyle w:val="TextBody"/>
        <w:bidi w:val="0"/>
        <w:spacing w:before="120" w:after="0"/>
        <w:jc w:val="left"/>
        <w:rPr>
          <w:rFonts w:ascii="Times New Roman" w:hAnsi="Times New Roman"/>
          <w:sz w:val="20"/>
        </w:rPr>
      </w:pPr>
      <w:r>
        <w:rPr>
          <w:rFonts w:ascii="Times New Roman" w:hAnsi="Times New Roman"/>
          <w:sz w:val="20"/>
        </w:rPr>
        <w:t xml:space="preserve">We may consolidate with, or sell, lease or convey all or substantially all of our assets to, or merge with or into, any other corporation, trust or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survivor in the transaction, or the survivor, if not us, is an entity organized under the laws of the United States or a state of the United States, which entity expressly assumes by supplemental indenture the due and punctual payment of the principal of, and any premium, make-whole amount, interest and additional amounts on, all of the outstanding debt securities and the due and punctual performance and observance of all of the covenants and conditions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and treating any indebtedness that becomes an obligation of ours or one of our subsidiaries as a result of the transaction as having been incurred by us or our subsidiary at the time of the transaction, there is no event of default under the applicable indenture and no event which, after notice or the lapse of time, or both, would become an event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an officers’ certificate and an opinion of our legal counsel, as to the satisfaction of conditions contained in the applicable indenture (Sections 801 and 803).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covenant would not apply to any recapitalization transaction, a change of control of us or a transaction in which we incur a large amount of additional debt, unless the transactions or change of control included a merger, consolidation or transfer or lease of substantially all of our assets. Except as may be described in the applicable prospectus supplement, there are no covenants or other provisions in the indentures providing for a “put” right or increased interest or that would otherwise afford holders of debt securities additional protection in the event of a recapitalization transaction, a change of control of us or a transaction in which we incur a large amount of additional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we are subject to Section 13 or 15(d) of the Exchange Act, we will file annual reports, quarterly reports and other documents with the SEC pursuant to Sections 13 and 15(d) as if we were so subject, on or prior to the dates by which we are or would have been required to file those documents if we were so subject. In any event, we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15 days of each of the respective dates by which we are or would have been required to file annual reports, quarterly reports or other documents with the SEC under Sections 13 and 15(d) of the Exchange Act, mail to all holders of debt securities, without cost to such holders, copies of the annual reports and quarterly reports and file with the applicable trustee copies of the annual reports, quarterly reports and other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upon written request and payment of the reasonable cost of duplication and delivery, supply copies of those documents to holders and any prospective holders of debt securities if filing those documents with the SEC is not permitted under the Exchange Act (Section 1005).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Any additional covenants with respect to any series of debt securities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applicable prospectus supplement, the following events are “events of default” with respect to any series of debt securities that we may issue under 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for 30 days to pay any installment of interest or any additional amounts payable on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the principal of, or any premium or make-whole amount on, any debt security of that series when due, either at maturity,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make any sinking fund payment as required for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breach or fail to perform any covenant or warranty contained in the applicable indenture, other than a covenant or warranty otherwise provided for in the applicable indenture, and our breach or failure to perform continues for 60 days after we have received written notice in accordance with the applicable indenture of our breach or failure to perform;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under a bond, debenture, note, mortgage, indenture or instrument securing or evidencing indebtedness for money borrowed by us, or by any subsidiaries of ours that we have guaranteed or for which we are directly responsible or liable as obligor or guarantor, that has a principal amount outstanding in excess of $20,000,000, other than indebtedness which is non-recourse to us or our subsidiaries, which default has caused the indebtedness to become due and payable earlier than it would otherwise have become due and payable, and the indebtedness has not been discharged or the acceleration has not been rescinded or annulled, within 30 days after written notice was provided to us in accordance with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one or more judgments, orders or decrees against us or any of our subsidiaries in an aggregate amount (excluding amounts covered by insurance) in excess of $20,000,000, which remain(s) undischarged, unstayed, and unsatisfied in an aggregate amount (excluding amounts covered by insurance) in excess of $20,000,000 for 60 consecutive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bankruptcy, insolvency or reorganization or court appointment of a receiver, liquidator, trustee, assignee, or other similar official for us or any of our Significant Subsidiaries, or for all or substantially all of our properties or the properties of our Significant Subsidiaries or the general assignment by us or any of our Significant Subsidiaries for the benefit of our or their creditors or an order for the liquidation of MasTec, Inc. or any of our Significant Subsidiaries which remains unstayed and in effect for 90 days;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described in the applicable prospectus supplement and indenture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there is a continuing event of default with respect to outstanding debt securities of a series, then the trustee or the holders of not less than 25% in aggregate principal amount of the outstanding debt securities of that series, voting as a single class, may declare immediately due and payable the principal amount or other amount as may be specified by the terms of those debt securities and any premium or make-whole amount on the debt securities of that series and any accrued and unpaid cash interest through the date of such declaration; provided, however, that, upon the occurrence and continuation of certain defaults related to bankruptcy or insolvency, the principal of, and the Make-Whole Amount, if any, on all the outstanding debt securities of that series and any accrued interest through the occurrence of such Event of Default, shall become due and payable immediately, without any declaration or other act by the Trustee or any other Holder. Notwithstanding the foregoing, if any debt securities of a series are Original Issue Discount Securities or Indexed Securities, the terms thereof may provide for the payment of a portion of the principal amount thereof in the case of an acceleration of payment as a result of an Event of Default. At any time after an acceleration with respect to debt securities of a series has been made, but before a judgment or decree for payment of the money due has been obtained by the trustee, the holders of not less than a majority in principal amount of the outstanding debt securities of that series may cancel the acceleration and annul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all required payments of the principal of, and any premium, make-whole amount, interest, and additional amounts on, the applicable series of debt securities, plus fees, expenses, disbursements and advances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premium, make-whole amount, or interest, with respect to the applicable series of debt securities have been cured or waived as provided in the indentures (Section 502).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the holders of not less than a majority in principal amount of the outstanding debt securities of any series may waive any past default with respect to that series and its consequences (except in respect of certain events of default related to bankruptcy or insolvency, the waiver of which requires approval of a majority in principal amount of all outstanding debt securities under the applicable indenture), except a default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of, and any premium, make-whole amount, interest or additional amounts on, any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covenant or provision contained in the applicable indenture that cannot be modified or amended without the consent of the holders of each outstanding debt security affected by the default (Section 513).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is generally required to give notice to the holders of debt securities of each affected series within 90 days of a default actually known to the trustee unless the default has been cured or waived. The trustee may, however, withhold notice of default unless the default relates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of, and any premium, make-whole amount, interest or additional amounts on, any debt security of that series;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installment for any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Responsible Officers of the trustee in good faith consider it to be in the interest of the holders of the debt securities of that series (Sections 101 and 601).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no holder of debt securities of any series may institute a proceeding with respect to the indenture or for any remedy under the indenture, unless the trustee fails to act for 60 days after it has received a written notice of a continuing event of default with respect to the debt securities of that series from such holder and a written request to institute proceedings in respect of an event of default from the holders of not less than 25% in principal amount of the outstanding debt securities of that series (except in respect of certain events of default related to bankruptcy or insolvency, which requires the written request of not less than 25% in principal amount of all outstanding debt securities under the applicable indenture), as well as an offer of indemnity satisfactory to the trustee; provided, that no direction inconsistent with such request has been given to the trustee during such 60-day period by the holders of a majority in principal amount of outstanding debt securities of that series or the holders of a majority in principal amount of all outstanding debt securities under the applicable indenture, as applicable (Section 507). This provision will not prevent, however, any holder of debt securities from instituting suit for the enforcement of payment of the principal of, and any premium, make-whole amount, interest or additional amounts on, the debt securities at their respective due dates (Section 508). </w:t>
      </w:r>
    </w:p>
    <w:p>
      <w:pPr>
        <w:pStyle w:val="TextBody"/>
        <w:bidi w:val="0"/>
        <w:spacing w:before="240" w:after="0"/>
        <w:jc w:val="left"/>
        <w:rPr>
          <w:rFonts w:ascii="Times New Roman" w:hAnsi="Times New Roman"/>
          <w:sz w:val="20"/>
        </w:rPr>
      </w:pPr>
      <w:r>
        <w:rPr>
          <w:rFonts w:ascii="Times New Roman" w:hAnsi="Times New Roman"/>
          <w:sz w:val="20"/>
        </w:rPr>
        <w:t xml:space="preserve">Subject to provisions in each indenture relating to the trustee’s duties in case of default, the trustee is not under an obligation to exercise ant of its rights or powers under the indenture at the request or direction of any holders of any series of debt securities then outstanding, unless the holders have offered the trustee security or indemnity satisfactory to it (Section 602). Subject to these provisions for the indemnification of the trustee, the holders of not less than a majority in principal amount of all outstanding debt securities of any series under the applicable indenture (except in respect of certain events of default related to bankruptcy or insolvency, the holders of a majority in principal amount of all outstanding debt securities under the applicable indenture) will have the right to direct the time, method and place of conducting any proceeding for any remedy available to the trustee, or of exercising any trust or power conferred upon the trustee. The trustee may, however, refuse to follow any direction which conflicts with any law or the applicable indenture, which may involve the trustee in personal liability or which may be unduly prejudicial to the holders of debt securities of the applicable series not joining in the direction, and the trustee may take any other action deemed proper by the trustee which is not inconsistent with the direction (Section 512).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must deliver to the trustee a certificate, signed by one of several specified officers, stating that officer’s knowledge of our compliance with all the conditions and covenants under the applicable indenture, and, in the event of any noncompliance, specifying the noncompliance and the nature and status of the noncompliance (Section 1006).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i/>
          <w:sz w:val="20"/>
        </w:rPr>
      </w:pPr>
      <w:r>
        <w:rPr>
          <w:rFonts w:ascii="Times New Roman" w:hAnsi="Times New Roman"/>
          <w:i/>
          <w:sz w:val="20"/>
        </w:rPr>
        <w:t xml:space="preserve">Modification Without Consent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Together with the trustee, we may, when authorized by our board of directors, modify each of the indentures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as obligor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existing covenants additional covenants for the benefit of the holders of all or any series of debt securities,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the indenture to facilitate the issuance of, or to liberalize the terms of, debt securities in bearer form, or to permit or facilitate the issuance of debt securities in uncertificated form, provided that this action will not adversely affect the interests of the holders of the debt securities of any series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change or eliminate any provisions of the indenture, provided that any addition, change or elimination shall neither apply to any debt security of any series created prior to the execution of such supplemental indenture and entitled to the benefit of such provision nor modify the rights of the holder of any debt security with respect to such provision or become effective only when there are no outstanding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previously unsecured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including the provisions and procedures, if applicable, for the conversion or exchange of the debt securities into our common stock, preferred stock or other securities or property or the addition or modification of any provisions of the indenture as necessary or desirable to provide for or facilitate the guarantee of such securities by one or more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or appointment of a successor trustee or facilitate the administration of the trusts under the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 for the subordination of the debt securities of a series or with respect to the conversion or exchange of rights of holders pursuant to the requirements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to make any other provisions with respect to matters or questions arising under the indenture which shall not be inconsistent with the provisions of the indenture or to make any other changes, provided that the action does not adversely affect the interests of holders of debt securities of any series issued under the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close the indenture with respect to the authentication and delivery of additional series of debt securities or to qualify, or maintain qualification of, the indenture under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the extent necessary to permit or facilitate defeasance and discharge of any series of debt securities, provided that the action shall not adversely affect the interests of the holders of the debt securities of any series in any material respect (Section 901).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Modification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Together with the trustee, we may, when authorized by our board of directors, also make modifications and amendments to each indenture with the consent of the holders of a majority in principal amount of the outstanding debt securities of all affected series. Without the consent of each affected holder, however, no modification to either indenture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make-whole amount or installment of principal of,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or amount of interest on, or any premium or make-whole amount payable on redemption of, or any additional amounts payable with respect to any debt security or change any obligation to pay additional amounts except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of an original issue discount security or make-whole amount that would be due and payable upon declaration of acceleration of the maturity of the original discount or other security, or would be provable in bankruptcy, or adversely affect any right of repayment of the holder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or the currency or currencies of payment of the principal of, and any premium, make-whole amount, interest, or additional amounts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or with respect to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the holders of outstanding debt securities of any series necessary to modify or amend the indenture, to waive compliance with provisions of the indenture or defaults and their consequences under the indenture, or to reduce the quorum or voting requirements contained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right to convert or exchange any debt security other than as permitted by the indenture or decrease the conversion or exchange rate or increase the conversion or exchange price of any such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provisions or any of the provisions relating to the waiver of past defaults or covenants, except to increase the required percentage of holders necessary to effect that action or to provide that other provisions may not be modified or waived without the consent of the holder of the debt security (Section 902).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Documentation </w:t>
      </w:r>
    </w:p>
    <w:p>
      <w:pPr>
        <w:pStyle w:val="TextBody"/>
        <w:bidi w:val="0"/>
        <w:spacing w:before="120" w:after="0"/>
        <w:jc w:val="left"/>
        <w:rPr>
          <w:rFonts w:ascii="Times New Roman" w:hAnsi="Times New Roman"/>
          <w:sz w:val="20"/>
        </w:rPr>
      </w:pPr>
      <w:r>
        <w:rPr>
          <w:rFonts w:ascii="Times New Roman" w:hAnsi="Times New Roman"/>
          <w:sz w:val="20"/>
        </w:rPr>
        <w:t xml:space="preserve">Any modification or amendment of an indenture, whether effected with or without the consent of any holder, will be documented in a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terms of a series of debt securities provide otherwise, under the indentures, we may discharge some of our respective obligations to holders of any series of debt securities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already been delivered to the trustee for cancellation and that either have become due and payable, will become due and payable within one year, or are scheduled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 discharge these obligations when the securities have not already been delivered to the trustee for cancellation by irrevocably depositing with the trustee funds in the currency or currencies in which the debt securities are payable in an amount sufficient to pay and discharge the entire indebtedness on those debt securities, including principal of, and any premium, make-whole amount, interest and additional amounts on, the debt securities on and up to the date of such deposit, or, if the debt securities have become due and payable, on and up to the stated maturity or redemption date, as the case may be (Section 401).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terms of the debt securities of a series permit us to do so, we may elect either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obligations with respect to the debt securities, except certain obligations set forth in Section 1402 (Section 1402);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additional amounts upon the occurrence of several particular tax and other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the fees, expenses and indemnitees of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temporary or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 office or agency for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the debt securities under sections of the applicable indenture described under “Certain Covenants” or, if permitted by the terms of the debt securities, our obligations with respect to any other covenant.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choose to be released from our respective obligations under the covenants, any failure to comply with any of the obligations imposed on us by the covenants will not constitute a default or an event of default with respect to the debt securities (Section 1403). However, to make either election, we must irrevocably deposit with the trustee an amount, in such currency or currencies in which the debt securities are payable at stated maturity, or in Government Obligations (Section 101), or both, that will provide sufficient funds to pay the principal of, and any premium, make-whole amount, and interest on, the debt securities, and any mandatory sinking fund or similar payments on the debt securities, on the relevant scheduled due dates. </w:t>
      </w:r>
    </w:p>
    <w:p>
      <w:pPr>
        <w:pStyle w:val="TextBody"/>
        <w:bidi w:val="0"/>
        <w:spacing w:before="240" w:after="0"/>
        <w:jc w:val="left"/>
        <w:rPr>
          <w:rFonts w:ascii="Times New Roman" w:hAnsi="Times New Roman"/>
          <w:sz w:val="20"/>
        </w:rPr>
      </w:pPr>
      <w:r>
        <w:rPr>
          <w:rFonts w:ascii="Times New Roman" w:hAnsi="Times New Roman"/>
          <w:sz w:val="20"/>
        </w:rPr>
        <w:t xml:space="preserve">We may defease and discharge the obligations, as described in the preceding paragraphs, only if, among other things, we have delivered to the trustee an opinion of counsel to the effect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debt securities will not recognize income, gain or loss for United States federal income tax purposes as a result of the defeasance or covenant defeasance described in the previous paragraphs and will be subject to United States federal income tax on the same amounts, in the same manner and at the same times as would have been the case if the defeasance or covenant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defeasance, the opinion of counsel must refer to, and be based upon, a ruling of the Internal Revenue Service or a change in applicable United States federal income tax laws occurring after the date of the applicable indenture (Section 1404).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if, after we have deposited funds and/or Government Obligations to effect defeasance or covenant defeasance with respect to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a debt security of the series elects to receive payment in a currency other than that in which the deposit has been made in respect of the debt security (Section 301);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conversion event, as defined below, occurs in respect of the currency in which the deposit has been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the indebtedness represented by the debt security will be fully discharged and satisfied through the payment of the principal of, and any premium, make-whole amount and interest on, the debt security as they become due, and additional amounts, if any, out of the proceeds yielded by converting the amount or other property deposited in respect of the debt security into the currency in which the debt security becomes payable as a result of the holder’s election or the conversion event based on the applicable market exchange rate (Section 1405).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 “conversion event” means the cessation of use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currency (other than a European Currency Unit or other currency unit) issued by the government of one or more countries other than the United States, both by the government of the country that issued that currency and for the settlement of transactions by a central bank or other public institutions of or within the international banking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European Currency Unit, both within the European Monetary System and, for the settlement of transactions, by public institutions of or within the European Communities (Section 101);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currency other than the European Currency Unit for the purposes for which it was established.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we will make all payments of principal of, and any premium, make-whole amount, interest and additional amounts on, any debt security that is payable in a foreign currency that ceases to be used by its government of issuance in United States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we effect covenant defeasance with respect to any debt securities and the debt securities are declared due and payable because of the occurrence of an event of default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 of default described in the fourth bullet under “-Events of Default, Notice and Waiver,” which would no longer be applicable to the debt securities of that series (Section 1005);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 of default described in the eighth bullet under “-Events of Default, Notice and Waiver” with respect to a covenant as to which there has been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the amount on deposit with the trustee will still be sufficient to pay amounts due on the debt securities at the time of their stated maturity but may not be sufficient to pay amounts due on the debt securities at the time of the acceleration resulting from the event of default. In this case, we would remain liable to make payment of the amounts due at the time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describe any additional provisions permitting defeasance or covenant defeasance, including any modifications to the provisions described above, with respect to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on which debt securities of any series may be convertible into or exchangeable for our common stock, preferred stock or other securities or property of us will be described in the applicable prospectus supplement. These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or the manner of calculating the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conversion or exchange is mandatory, or voluntary at the option of the holder or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conversion or exchange in the event of redemption of the debt securities and any restrictions on conversion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means of calculating the number of shares of our common stock, preferred stock or other securities or property of us to be received by the holders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conversion or exchange price of any debt securities of any series that are convertible into our common stock or preferred stock shall be adjusted for any stock dividends, stock splits, reclassification, combinations or similar transactions, as set forth in the applicable prospectus supplement (Article Sixteen).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are governed by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may be subject to optional or mandatory redemption on terms and conditions described in the applicable prospectus supplement. Subject to such terms, we may opt at any time to partially or entirely redeem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notice has been given as provided in the applicable indenture, if funds for the redemption of any debt securities called for redemption shall have been made available on the redemption date, the debt securities will cease to bear interest on the date fixed for the redemption specified in the notice, and the only right of the holders of the debt securities will be to receive payment of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47631_9"/>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generally the terms of warrants that we may offer from time to time in one or more series. The specific terms of a series of warrants will be described in the applicable prospectus supplement relating to that series of warrants along with any general provisions applicable to that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warrants, and any description of the warrants in a prospectus supplement, may not be complete and is subject to, and qualified in its entirety by reference to, the underlying warrant agreement, which we will file with the SEC at or prior to the time of the sale of the warrants. You should refer to, and read this summary together with, the warrant agreement and the applicable prospectus supplement to review the terms of a particular series of our common or preferred stock that may be important to you. You can obtain copies of any form of warrant agreement or other agreement pursuant to which the warrants are issued by following the directions described under the caption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depositary shares, debt securities, shares of our common stock or preferred stock, or any combination of those securities. We may issue warrants independently or together with any other securities, and the warrants may be attached to, or separate from, any other securities. Each series of warrants to be issued will be issued under a separate warrant agreement between us and a warrant agent specified in the related prospectus supplement. The warrant agent will act solely as our agent in connection with the warrants of a series and will not assume any obligation or relationship of agency or trust for or with holders or beneficial owners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securities called for by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or currency units, in which the price of the warrants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including composite currencies or currency units, in which the securities purchasable upon exercise of the warrants may be purchased and provisions for changes to or adjustments in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shall commence and the date on which that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underlying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summary of the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certificates may be exchanged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respective underlying securities purchasable upon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47631_10"/>
      <w:bookmarkEnd w:id="25"/>
      <w:r>
        <w:rPr>
          <w:rFonts w:ascii="Times New Roman" w:hAnsi="Times New Roman"/>
          <w:b/>
          <w:sz w:val="20"/>
        </w:rPr>
        <w:t xml:space="preserve">DESCRIPTION OF STOCK PURCHASE CONTRACTS AND STOCK PURCHASE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w:t>
      </w:r>
    </w:p>
    <w:p>
      <w:pPr>
        <w:pStyle w:val="TextBody"/>
        <w:bidi w:val="0"/>
        <w:spacing w:before="240" w:after="0"/>
        <w:jc w:val="left"/>
        <w:rPr>
          <w:rFonts w:ascii="Times New Roman" w:hAnsi="Times New Roman"/>
          <w:sz w:val="20"/>
        </w:rPr>
      </w:pPr>
      <w:r>
        <w:rPr>
          <w:rFonts w:ascii="Times New Roman" w:hAnsi="Times New Roman"/>
          <w:sz w:val="20"/>
        </w:rPr>
        <w:t xml:space="preserve">An applicable prospectus supplement will describe the terms of the stock purchase contracts, including, if applicable, collateral or depositary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47631_11"/>
      <w:bookmarkEnd w:id="26"/>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register for resale hereunder certain of our securities held by particular selling security holders. In the event we effect such a registration, we will file a prospectus supplement that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and quantity of our securities offered by each selling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such securities held by each selling security holder before and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(if one percent or more) of such class of securities held by each selling security holder before and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position, office or other material relationship that each selling security holder has had with us or any of our predecessors or affiliates within the last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applicable terms of the securities offered by each selling security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 of distribution with respect to securities to be offered by the selling security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47631_12"/>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to one or more underwriters or dealers for public offering and sale by them, or we may sell the securities to investors directly or through agents. The applicable prospectus supplement will set forth the terms of the particular offering and the method of distribution and will identify any firms acting as underwriters,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amounts underwritten;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material relationship between us and any 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the obligation of the underwriter(s) to take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and the net proceeds we will receive from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distribute our securities from time to time in one or more transactions at a fixed price or prices, which may be changed, or at prices determined as the prospectus supplement specifies, including in “at-the-market” offerings. We may sell our securities through a rights offering, forward contracts or similar arrangements.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discounts or other compensation which we pay to underwriters or agents in connection with the offering of our securities, and any discounts, concessions or commissions which underwriters allow to dealers, will be set forth in the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sold pursuant to this prospectus and applicable prospectus supplement will be approved for trading, upon notice of issuance,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their controlling persons, dealers and agents may be entitled, under agreements entered into with us,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being offered under this prospectus, other than our common stock, will be new issues of securities with no established trading market unless otherwise specified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not presently been established whether the underwriters, if any, as identified in a prospectus supplement, will make a market in the securities. If the underwriters make a market in the securities, the market making may be discontinued at any time without notice. We cannot provide any assurance as to the liquidity of the trading market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may be customers of, engage in transactions with, and perform services for, us and our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47631_13"/>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and any supplement hereto, as well as certain tax matters, will be passed upon for us by Holland &amp; Knight LLP, 701 Brickell Avenue, Miami, Florida 33131. Counsel for any underwriter or agents will be noted in the applicable prospectus supplement. </w:t>
      </w:r>
    </w:p>
    <w:p>
      <w:pPr>
        <w:pStyle w:val="TextBody"/>
        <w:bidi w:val="0"/>
        <w:spacing w:before="480" w:after="0"/>
        <w:jc w:val="center"/>
        <w:rPr>
          <w:rFonts w:ascii="Times New Roman" w:hAnsi="Times New Roman"/>
          <w:b/>
          <w:sz w:val="20"/>
        </w:rPr>
      </w:pPr>
      <w:bookmarkStart w:id="29" w:name="tx147631_14"/>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as of December 31, 2024 and for the year ended December 31, 2024 and management’s assessment of the effectiveness of internal control over financial reporting (which is included in Management’s Report on Internal Control over Financial Reporting) as of December 31, 2024 incorporated in this Prospectus by reference to the Annual Report on Form 10-K for the year ended December 31, 2024 have been so incorporated in reliance on the report (which contains a paragraph relating to the effectiveness of internal control over financial reporting due to the exclusion of two entities (related to a July acquisition in the Power Delivery segment and a December acquisition in the Pipeline Infrastructure segment) because they were acquired by the Company in purchase business combinations during 2024)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MasTec, Inc., except IEA Energy Services, LLC (“IEA LLC”) (IEA LLC is a wholly-owned subsidiary of MasTec, Inc.), as of December 31, 2023 and for each of the two years in the period ended December 31, 2023 incorporated in this Prospectus by reference to the Annual Report on Form 10-K for the year ended December 31, 2024, have been so incorporated in reliance on the report of BDO USA, P.C.,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IEA LLC as of December 31, 2023 and for the year ended December 31, 2023 (consolidated with those of MasTec, Inc., but not presented separately or incorporated by reference herein) have been audited by Deloitte &amp; Touche LLP, an independent registered public accounting firm, as stated in its report incorporated by reference in this Prospectus by reference to the Annual Report on Form 10-K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47631_15"/>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The SEC maintains an internet site that contains reports, proxy and information statements, and other information that we file electronically with the SEC and which are available at the SEC’s website at: http://www.sec.gov. In addition, our SEC filings and other information about our company are available on our internet website: www.mastec.com. Please note that our internet address is included in this prospectus as an inactive textual reference and the information included on our website is not incorporated by reference into this prospectus and should not be considered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The registration statement contains more information than this prospectus regarding us and our common stock, including certain exhibits. You can obtain a copy of the registration statement from the SEC’s website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47631_16"/>
      <w:bookmarkEnd w:id="3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some of the documents we file with it into this prospectus, which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disclose important information to you by referring you to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incorporated by reference is considered to be part of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later information that we file with the SEC will automatically update and supersede this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4">
              <w:r>
                <w:rPr>
                  <w:rStyle w:val="InternetLink"/>
                  <w:rFonts w:ascii="Times New Roman" w:hAnsi="Times New Roman"/>
                  <w:sz w:val="20"/>
                </w:rPr>
                <w:t>Form 8-A</w:t>
              </w:r>
            </w:hyperlink>
            <w:r>
              <w:rPr>
                <w:rFonts w:ascii="Times New Roman" w:hAnsi="Times New Roman"/>
                <w:sz w:val="20"/>
              </w:rPr>
              <w:t xml:space="preserve"> filed with the SEC on February 10, 1997 (File No. 001-08106) and any amendments to such Registration Statement filed subsequently thereto,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the offering, will be deemed to be incorporated herein by reference and to be a part of this registration statement from the date of filing of such documents. Any statement contained in a document incorporated herein by reference will be deemed to be modified or superseded for purposes of this registration statement to the extent that a statement contained herein, or in a subsequently filed document incorporated herein by reference, modifies or supersedes the statement. Any statement modified or superseded will not be deemed, except as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information that has been incorporated by reference in this prospectus but not delivered with this prospectus (excluding exhibits unless specifically incorporated by reference into those documents). Please direct requests to us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 xml:space="preserve">800 S. Douglas Road,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Coral Gables, Florida 33134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Alberto de Cardenas </w:t>
      </w:r>
    </w:p>
    <w:p>
      <w:pPr>
        <w:pStyle w:val="TextBody"/>
        <w:bidi w:val="0"/>
        <w:spacing w:before="0" w:after="0"/>
        <w:jc w:val="center"/>
        <w:rPr>
          <w:rFonts w:ascii="Times New Roman" w:hAnsi="Times New Roman"/>
          <w:b/>
          <w:sz w:val="20"/>
        </w:rPr>
      </w:pPr>
      <w:r>
        <w:rPr>
          <w:rFonts w:ascii="Times New Roman" w:hAnsi="Times New Roman"/>
          <w:b/>
          <w:sz w:val="20"/>
        </w:rPr>
        <w:t>(305) 599-1800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6"/>
        </w:rPr>
      </w:pPr>
      <w:r>
        <w:rPr>
          <w:rFonts w:ascii="Times New Roman" w:hAnsi="Times New Roman"/>
          <w:b/>
          <w:sz w:val="36"/>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1578610" cy="2844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578610" cy="2844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720" w:after="0"/>
        <w:jc w:val="center"/>
        <w:rPr/>
      </w:pPr>
      <w:r>
        <w:rPr/>
        <w:t>  </w:t>
      </w:r>
      <w:r>
        <w:rPr>
          <w:rFonts w:ascii="Times New Roman" w:hAnsi="Times New Roman"/>
          <w:b/>
          <w:sz w:val="32"/>
        </w:rPr>
        <w:t xml:space="preserve">% Senior Notes due 20   </w:t>
      </w:r>
    </w:p>
    <w:p>
      <w:pPr>
        <w:pStyle w:val="TextBody"/>
        <w:bidi w:val="0"/>
        <w:spacing w:before="0" w:after="0"/>
        <w:jc w:val="left"/>
        <w:rPr/>
      </w:pPr>
      <w:r>
        <w:rPr/>
        <w:t> </w:t>
      </w:r>
    </w:p>
    <w:p>
      <w:pPr>
        <w:pStyle w:val="TextBody"/>
        <w:bidi w:val="0"/>
        <w:spacing w:before="2400" w:after="0"/>
        <w:jc w:val="center"/>
        <w:rPr>
          <w:rFonts w:ascii="Times New Roman" w:hAnsi="Times New Roman"/>
          <w:i/>
          <w:sz w:val="24"/>
        </w:rPr>
      </w:pPr>
      <w:r>
        <w:rPr>
          <w:rFonts w:ascii="Times New Roman" w:hAnsi="Times New Roman"/>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1"/>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PNC Capital Markets LLC</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Truist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Wells Fargo Securities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pPr>
            <w:r>
              <w:rPr/>
              <w:t>   </w:t>
            </w:r>
            <w:r>
              <w:rPr>
                <w:b/>
              </w:rPr>
              <w:t>J.P. Morgan  </w:t>
            </w:r>
          </w:p>
        </w:tc>
      </w:tr>
    </w:tbl>
    <w:p>
      <w:pPr>
        <w:pStyle w:val="TextBody"/>
        <w:bidi w:val="0"/>
        <w:spacing w:before="0" w:after="0"/>
        <w:jc w:val="left"/>
        <w:rPr/>
      </w:pPr>
      <w:r>
        <w:rPr/>
        <w:t> </w:t>
      </w:r>
    </w:p>
    <w:p>
      <w:pPr>
        <w:pStyle w:val="TextBody"/>
        <w:bidi w:val="0"/>
        <w:spacing w:before="1500" w:after="0"/>
        <w:jc w:val="center"/>
        <w:rPr>
          <w:rFonts w:ascii="Times New Roman" w:hAnsi="Times New Roman"/>
          <w:b/>
          <w:sz w:val="18"/>
        </w:rPr>
      </w:pPr>
      <w:r>
        <w:rPr>
          <w:rFonts w:ascii="Times New Roman" w:hAnsi="Times New Roman"/>
          <w:b/>
          <w:sz w:val="18"/>
        </w:rPr>
        <w:t xml:space="preserve">The date of this prospectus supplement is     ,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615/000001561526000020/mtz-20251231.htm" TargetMode="External"/><Relationship Id="rId4" Type="http://schemas.openxmlformats.org/officeDocument/2006/relationships/hyperlink" Target="http://www.sec.gov/Archives/edgar/data/../../../ix?doc=/Archives/edgar/data/15615/000001561526000050/mtz-20260331.htm" TargetMode="External"/><Relationship Id="rId5" Type="http://schemas.openxmlformats.org/officeDocument/2006/relationships/hyperlink" Target="http://www.sec.gov/Archives/edgar/data/../../../ix?doc=/Archives/edgar/data/15615/000001561526000093/mtz-20260630.htm" TargetMode="External"/><Relationship Id="rId6" Type="http://schemas.openxmlformats.org/officeDocument/2006/relationships/hyperlink" Target="http://www.sec.gov/Archives/edgar/data/../../../ix?doc=/Archives/edgar/data/15615/000119312526236909/d78092d8k.htm" TargetMode="External"/><Relationship Id="rId7" Type="http://schemas.openxmlformats.org/officeDocument/2006/relationships/hyperlink" Target="http://www.sec.gov/Archives/edgar/data/../../../ix?doc=/Archives/edgar/data/15615/000119312526297552/d77261d8k.htm" TargetMode="External"/><Relationship Id="rId8" Type="http://schemas.openxmlformats.org/officeDocument/2006/relationships/hyperlink" Target="http://www.sec.gov/Archives/edgar/data/../../../ix?doc=/Archives/edgar/data/15615/000119312526309077/d123535d8k.htm" TargetMode="External"/><Relationship Id="rId9" Type="http://schemas.openxmlformats.org/officeDocument/2006/relationships/hyperlink" Target="http://www.sec.gov/Archives/edgar/data/../../../ix?doc=/Archives/edgar/data/15615/000001561526000095/mtz-20260724.htm" TargetMode="External"/><Relationship Id="rId10" Type="http://schemas.openxmlformats.org/officeDocument/2006/relationships/hyperlink" Target="http://www.sec.gov/Archives/edgar/data/../../../ix?doc=/Archives/edgar/data/0000015615/000114036126014022/ny20064175x771_def14a.htm" TargetMode="External"/><Relationship Id="rId11" Type="http://schemas.openxmlformats.org/officeDocument/2006/relationships/hyperlink" Target="http://www.sec.gov/Archives/edgar/data/15615/000114036126014023/ny20064175x772_defa14a.htm" TargetMode="External"/><Relationship Id="rId12" Type="http://schemas.openxmlformats.org/officeDocument/2006/relationships/image" Target="media/image2.jpeg"/><Relationship Id="rId13" Type="http://schemas.openxmlformats.org/officeDocument/2006/relationships/hyperlink" Target="http://www.sec.gov/Archives/edgar/data/../../../ix?doc=/Archives/edgar/data/15615/000001561525000021/mtz-20241231.htm" TargetMode="External"/><Relationship Id="rId14" Type="http://schemas.openxmlformats.org/officeDocument/2006/relationships/hyperlink" Target="http://www.sec.gov/Archives/edgar/data/15615/0000950170-97-000109.txt"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47957</Words>
  <Characters>251696</Characters>
  <CharactersWithSpaces>300739</CharactersWithSpaces>
  <Paragraphs>2942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