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100075.xml.htm"/>
      <w:bookmarkStart w:id="1" w:name="kswkform4_17781000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C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4145 PINTA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CORAL GABLES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MASTEC INC</w:t>
              </w:r>
            </w:hyperlink>
            <w:r>
              <w:rPr/>
              <w:t xml:space="preserve"> [ </w:t>
            </w:r>
            <w:r>
              <w:rPr>
                <w:rFonts w:ascii="Times;serif" w:hAnsi="Times;serif"/>
                <w:color w:val="0000FF"/>
                <w:sz w:val="24"/>
                <w:shd w:fill="FFFFFF" w:val="clear"/>
              </w:rPr>
              <w:t>MTZ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98"/>
        <w:gridCol w:w="463"/>
        <w:gridCol w:w="636"/>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30,646</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14 separate transactions, each with a price of $417.00. The reporting person undertakes to provide the Issuer, any security holder of the Issuer or the staff of the Securities and Exchange Commission upon request, full information regarding the number of shares sold in each transaction.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Alberto de Cardenas For: Robert Campbell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261" TargetMode="External"/><Relationship Id="rId5" Type="http://schemas.openxmlformats.org/officeDocument/2006/relationships/hyperlink" Target="http://www.sec.gov/cgi-bin/browse-edgar?action=getcompany&amp;CIK=0000015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3300</Characters>
  <CharactersWithSpaces>3852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