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7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05"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00" w:lineRule="exact"/>
        <w:rPr>
          <w:sz w:val="24"/>
          <w:szCs w:val="24"/>
          <w:color w:val="auto"/>
        </w:rPr>
      </w:pPr>
    </w:p>
    <w:p>
      <w:pPr>
        <w:spacing w:after="0" w:line="270"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Commission File Number 001-08106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80" w:hanging="55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00" w:lineRule="exact"/>
        <w:rPr>
          <w:sz w:val="24"/>
          <w:szCs w:val="24"/>
          <w:color w:val="auto"/>
        </w:rPr>
      </w:pPr>
    </w:p>
    <w:p>
      <w:pPr>
        <w:spacing w:after="0" w:line="25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MasTec, Inc. 401(k) Retirement Plan</w:t>
      </w:r>
    </w:p>
    <w:p>
      <w:pPr>
        <w:spacing w:after="0" w:line="200" w:lineRule="exact"/>
        <w:rPr>
          <w:sz w:val="24"/>
          <w:szCs w:val="24"/>
          <w:color w:val="auto"/>
        </w:rPr>
      </w:pPr>
    </w:p>
    <w:p>
      <w:pPr>
        <w:spacing w:after="0" w:line="218" w:lineRule="exact"/>
        <w:rPr>
          <w:sz w:val="24"/>
          <w:szCs w:val="24"/>
          <w:color w:val="auto"/>
        </w:rPr>
      </w:pPr>
    </w:p>
    <w:p>
      <w:pPr>
        <w:ind w:left="580" w:hanging="554"/>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0" w:lineRule="exact"/>
        <w:rPr>
          <w:sz w:val="24"/>
          <w:szCs w:val="24"/>
          <w:color w:val="auto"/>
        </w:rPr>
      </w:pPr>
    </w:p>
    <w:p>
      <w:pPr>
        <w:spacing w:after="0" w:line="25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MasTec, Inc.</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800 S. Douglas Road, 12th Floor</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Coral Gables, FL 33134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223" w:right="6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560" w:type="dxa"/>
            <w:vAlign w:val="bottom"/>
            <w:shd w:val="clear" w:color="auto" w:fill="CCEEFF"/>
          </w:tcPr>
          <w:p>
            <w:pPr>
              <w:spacing w:after="0"/>
              <w:rPr>
                <w:sz w:val="17"/>
                <w:szCs w:val="17"/>
                <w:color w:val="auto"/>
              </w:rPr>
            </w:pPr>
          </w:p>
        </w:tc>
        <w:tc>
          <w:tcPr>
            <w:tcW w:w="954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 BDO USA, P.C.</w:t>
            </w:r>
          </w:p>
        </w:tc>
        <w:tc>
          <w:tcPr>
            <w:tcW w:w="1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270"/>
        </w:trPr>
        <w:tc>
          <w:tcPr>
            <w:tcW w:w="56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1400" w:type="dxa"/>
            <w:vAlign w:val="bottom"/>
            <w:tcBorders>
              <w:top w:val="single" w:sz="8" w:color="0000FF"/>
            </w:tcBorders>
          </w:tcPr>
          <w:p>
            <w:pPr>
              <w:spacing w:after="0"/>
              <w:rPr>
                <w:sz w:val="23"/>
                <w:szCs w:val="23"/>
                <w:color w:val="auto"/>
              </w:rPr>
            </w:pPr>
          </w:p>
        </w:tc>
        <w:tc>
          <w:tcPr>
            <w:tcW w:w="34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r>
      <w:tr>
        <w:trPr>
          <w:trHeight w:val="229"/>
        </w:trPr>
        <w:tc>
          <w:tcPr>
            <w:tcW w:w="101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40" w:type="dxa"/>
            <w:vAlign w:val="bottom"/>
            <w:shd w:val="clear" w:color="auto" w:fill="CCEEFF"/>
          </w:tcPr>
          <w:p>
            <w:pPr>
              <w:spacing w:after="0"/>
              <w:rPr>
                <w:sz w:val="19"/>
                <w:szCs w:val="19"/>
                <w:color w:val="auto"/>
              </w:rPr>
            </w:pPr>
          </w:p>
        </w:tc>
      </w:tr>
      <w:tr>
        <w:trPr>
          <w:trHeight w:val="189"/>
        </w:trPr>
        <w:tc>
          <w:tcPr>
            <w:tcW w:w="560" w:type="dxa"/>
            <w:vAlign w:val="bottom"/>
          </w:tcPr>
          <w:p>
            <w:pPr>
              <w:spacing w:after="0"/>
              <w:rPr>
                <w:sz w:val="16"/>
                <w:szCs w:val="16"/>
                <w:color w:val="auto"/>
              </w:rPr>
            </w:pPr>
          </w:p>
        </w:tc>
        <w:tc>
          <w:tcPr>
            <w:tcW w:w="95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560" w:type="dxa"/>
            <w:vAlign w:val="bottom"/>
            <w:shd w:val="clear" w:color="auto" w:fill="CCEEFF"/>
          </w:tcPr>
          <w:p>
            <w:pPr>
              <w:spacing w:after="0"/>
              <w:rPr>
                <w:sz w:val="18"/>
                <w:szCs w:val="18"/>
                <w:color w:val="auto"/>
              </w:rPr>
            </w:pPr>
          </w:p>
        </w:tc>
        <w:tc>
          <w:tcPr>
            <w:tcW w:w="95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560" w:type="dxa"/>
            <w:vAlign w:val="bottom"/>
            <w:tcBorders>
              <w:top w:val="single" w:sz="8" w:color="CCEEFF"/>
            </w:tcBorders>
          </w:tcPr>
          <w:p>
            <w:pPr>
              <w:spacing w:after="0"/>
              <w:rPr>
                <w:sz w:val="16"/>
                <w:szCs w:val="16"/>
                <w:color w:val="auto"/>
              </w:rPr>
            </w:pPr>
          </w:p>
        </w:tc>
        <w:tc>
          <w:tcPr>
            <w:tcW w:w="70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520" w:type="dxa"/>
            <w:vAlign w:val="bottom"/>
            <w:tcBorders>
              <w:top w:val="single" w:sz="8" w:color="CCEEFF"/>
            </w:tcBorders>
            <w:gridSpan w:val="2"/>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101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Schedules</w:t>
            </w:r>
          </w:p>
        </w:tc>
        <w:tc>
          <w:tcPr>
            <w:tcW w:w="1140" w:type="dxa"/>
            <w:vAlign w:val="bottom"/>
          </w:tcPr>
          <w:p>
            <w:pPr>
              <w:spacing w:after="0"/>
              <w:rPr>
                <w:sz w:val="19"/>
                <w:szCs w:val="19"/>
                <w:color w:val="auto"/>
              </w:rPr>
            </w:pPr>
          </w:p>
        </w:tc>
      </w:tr>
      <w:tr>
        <w:trPr>
          <w:trHeight w:val="209"/>
        </w:trPr>
        <w:tc>
          <w:tcPr>
            <w:tcW w:w="560" w:type="dxa"/>
            <w:vAlign w:val="bottom"/>
            <w:shd w:val="clear" w:color="auto" w:fill="CCEEFF"/>
          </w:tcPr>
          <w:p>
            <w:pPr>
              <w:spacing w:after="0"/>
              <w:rPr>
                <w:sz w:val="18"/>
                <w:szCs w:val="18"/>
                <w:color w:val="auto"/>
              </w:rPr>
            </w:pPr>
          </w:p>
        </w:tc>
        <w:tc>
          <w:tcPr>
            <w:tcW w:w="95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4a – Schedule of Delinquent Participant Contributions for the year ended December 31, 2025</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189"/>
        </w:trPr>
        <w:tc>
          <w:tcPr>
            <w:tcW w:w="560" w:type="dxa"/>
            <w:vAlign w:val="bottom"/>
            <w:tcBorders>
              <w:top w:val="single" w:sz="8" w:color="CCEEFF"/>
            </w:tcBorders>
          </w:tcPr>
          <w:p>
            <w:pPr>
              <w:spacing w:after="0"/>
              <w:rPr>
                <w:sz w:val="16"/>
                <w:szCs w:val="16"/>
                <w:color w:val="auto"/>
              </w:rPr>
            </w:pPr>
          </w:p>
        </w:tc>
        <w:tc>
          <w:tcPr>
            <w:tcW w:w="796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 December 31, 2025</w:t>
            </w:r>
          </w:p>
        </w:tc>
        <w:tc>
          <w:tcPr>
            <w:tcW w:w="158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5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89"/>
        </w:trPr>
        <w:tc>
          <w:tcPr>
            <w:tcW w:w="560" w:type="dxa"/>
            <w:vAlign w:val="bottom"/>
          </w:tcPr>
          <w:p>
            <w:pPr>
              <w:spacing w:after="0"/>
              <w:rPr>
                <w:sz w:val="16"/>
                <w:szCs w:val="16"/>
                <w:color w:val="auto"/>
              </w:rPr>
            </w:pPr>
          </w:p>
        </w:tc>
        <w:tc>
          <w:tcPr>
            <w:tcW w:w="95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r>
      <w:tr>
        <w:trPr>
          <w:trHeight w:val="21"/>
        </w:trPr>
        <w:tc>
          <w:tcPr>
            <w:tcW w:w="5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101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19"/>
                <w:szCs w:val="19"/>
                <w:color w:val="auto"/>
              </w:rPr>
            </w:pPr>
          </w:p>
        </w:tc>
      </w:tr>
      <w:tr>
        <w:trPr>
          <w:trHeight w:val="209"/>
        </w:trPr>
        <w:tc>
          <w:tcPr>
            <w:tcW w:w="560" w:type="dxa"/>
            <w:vAlign w:val="bottom"/>
            <w:shd w:val="clear" w:color="auto" w:fill="CCEEFF"/>
          </w:tcPr>
          <w:p>
            <w:pPr>
              <w:spacing w:after="0"/>
              <w:rPr>
                <w:sz w:val="18"/>
                <w:szCs w:val="18"/>
                <w:color w:val="auto"/>
              </w:rPr>
            </w:pPr>
          </w:p>
        </w:tc>
        <w:tc>
          <w:tcPr>
            <w:tcW w:w="95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Ex-23.1 Consent of Independent Registered Public Accounting Firm – BDO USA, P.C.</w:t>
            </w:r>
          </w:p>
        </w:tc>
        <w:tc>
          <w:tcPr>
            <w:tcW w:w="1140" w:type="dxa"/>
            <w:vAlign w:val="bottom"/>
            <w:shd w:val="clear" w:color="auto" w:fill="CCEEFF"/>
          </w:tcPr>
          <w:p>
            <w:pPr>
              <w:spacing w:after="0"/>
              <w:rPr>
                <w:sz w:val="18"/>
                <w:szCs w:val="18"/>
                <w:color w:val="auto"/>
              </w:rPr>
            </w:pPr>
          </w:p>
        </w:tc>
      </w:tr>
      <w:tr>
        <w:trPr>
          <w:trHeight w:val="908"/>
        </w:trPr>
        <w:tc>
          <w:tcPr>
            <w:tcW w:w="560" w:type="dxa"/>
            <w:vAlign w:val="bottom"/>
            <w:tcBorders>
              <w:top w:val="single" w:sz="8" w:color="CCEEFF"/>
            </w:tcBorders>
          </w:tcPr>
          <w:p>
            <w:pPr>
              <w:spacing w:after="0"/>
              <w:rPr>
                <w:sz w:val="24"/>
                <w:szCs w:val="24"/>
                <w:color w:val="auto"/>
              </w:rPr>
            </w:pPr>
          </w:p>
        </w:tc>
        <w:tc>
          <w:tcPr>
            <w:tcW w:w="5560" w:type="dxa"/>
            <w:vAlign w:val="bottom"/>
            <w:tcBorders>
              <w:top w:val="single" w:sz="8" w:color="0000FF"/>
            </w:tcBorders>
            <w:gridSpan w:val="3"/>
          </w:tcPr>
          <w:p>
            <w:pPr>
              <w:ind w:left="5020"/>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r>
      <w:tr>
        <w:trPr>
          <w:trHeight w:val="112"/>
        </w:trPr>
        <w:tc>
          <w:tcPr>
            <w:tcW w:w="5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MasTec, Inc. 401(k) Retirement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MasTec, Inc. 401(k) Retirement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ERISA-required supplemental schedules, Schedule H, line 4a – Schedule of Delinquent Participant Contributions for the year ended December 31, 2025, and Schedule H, line 4i – Schedule of Assets (Held at End of Year) as of December 31, 2025, have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MasTec, Inc. 401(k)</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887,825,471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710,029,515</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Employer contributions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9,478,858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8,837,536</w:t>
            </w:r>
          </w:p>
        </w:tc>
      </w:tr>
      <w:tr>
        <w:trPr>
          <w:trHeight w:val="230"/>
        </w:trPr>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413,925</w:t>
            </w:r>
          </w:p>
        </w:tc>
      </w:tr>
      <w:tr>
        <w:trPr>
          <w:trHeight w:val="22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20,260,287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16,765,691</w:t>
            </w:r>
          </w:p>
        </w:tc>
      </w:tr>
      <w:tr>
        <w:trPr>
          <w:trHeight w:val="230"/>
        </w:trPr>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Due from Broker</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29,785,507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26,017,152</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917,610,978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736,046,667</w:t>
            </w:r>
          </w:p>
        </w:tc>
      </w:tr>
      <w:tr>
        <w:trPr>
          <w:trHeight w:val="250"/>
        </w:trPr>
        <w:tc>
          <w:tcPr>
            <w:tcW w:w="7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to Broker</w:t>
            </w:r>
          </w:p>
        </w:tc>
        <w:tc>
          <w:tcPr>
            <w:tcW w:w="4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301,664</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301,664</w:t>
            </w:r>
          </w:p>
        </w:tc>
      </w:tr>
      <w:tr>
        <w:trPr>
          <w:trHeight w:val="47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917,610,978</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735,745,003</w:t>
            </w:r>
          </w:p>
        </w:tc>
      </w:tr>
    </w:tbl>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6"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MasTec, Inc. 401(k)</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Additions to net assets available for benefits attributed to:</w:t>
            </w:r>
          </w:p>
        </w:tc>
        <w:tc>
          <w:tcPr>
            <w:tcW w:w="5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49"/>
        </w:trPr>
        <w:tc>
          <w:tcPr>
            <w:tcW w:w="8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134,121,398</w:t>
            </w:r>
          </w:p>
        </w:tc>
      </w:tr>
      <w:tr>
        <w:trPr>
          <w:trHeight w:val="230"/>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33,669,153</w:t>
            </w:r>
          </w:p>
        </w:tc>
      </w:tr>
      <w:tr>
        <w:trPr>
          <w:trHeight w:val="236"/>
        </w:trPr>
        <w:tc>
          <w:tcPr>
            <w:tcW w:w="8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8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investment income</w:t>
            </w:r>
          </w:p>
        </w:tc>
        <w:tc>
          <w:tcPr>
            <w:tcW w:w="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167,790,551</w:t>
            </w:r>
          </w:p>
        </w:tc>
      </w:tr>
      <w:tr>
        <w:trPr>
          <w:trHeight w:val="236"/>
        </w:trPr>
        <w:tc>
          <w:tcPr>
            <w:tcW w:w="8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plan participants</w:t>
            </w:r>
          </w:p>
        </w:tc>
        <w:tc>
          <w:tcPr>
            <w:tcW w:w="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1,424,483</w:t>
            </w:r>
          </w:p>
        </w:tc>
      </w:tr>
      <w:tr>
        <w:trPr>
          <w:trHeight w:val="237"/>
        </w:trPr>
        <w:tc>
          <w:tcPr>
            <w:tcW w:w="8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Participants</w:t>
            </w:r>
          </w:p>
        </w:tc>
        <w:tc>
          <w:tcPr>
            <w:tcW w:w="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74,705,929</w:t>
            </w:r>
          </w:p>
        </w:tc>
      </w:tr>
      <w:tr>
        <w:trPr>
          <w:trHeight w:val="230"/>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w:t>
            </w: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38,208,433</w:t>
            </w:r>
          </w:p>
        </w:tc>
      </w:tr>
      <w:tr>
        <w:trPr>
          <w:trHeight w:val="229"/>
        </w:trPr>
        <w:tc>
          <w:tcPr>
            <w:tcW w:w="8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Rollovers</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7,721,294</w:t>
            </w:r>
          </w:p>
        </w:tc>
      </w:tr>
      <w:tr>
        <w:trPr>
          <w:trHeight w:val="237"/>
        </w:trPr>
        <w:tc>
          <w:tcPr>
            <w:tcW w:w="8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120,635,656</w:t>
            </w:r>
          </w:p>
        </w:tc>
      </w:tr>
      <w:tr>
        <w:trPr>
          <w:trHeight w:val="237"/>
        </w:trPr>
        <w:tc>
          <w:tcPr>
            <w:tcW w:w="8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8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additions</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289,850,690</w:t>
            </w:r>
          </w:p>
        </w:tc>
      </w:tr>
      <w:tr>
        <w:trPr>
          <w:trHeight w:val="237"/>
        </w:trPr>
        <w:tc>
          <w:tcPr>
            <w:tcW w:w="8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to net assets available for benefits attributed to:</w:t>
            </w: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106,927,139</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1,057,576</w:t>
            </w:r>
          </w:p>
        </w:tc>
      </w:tr>
      <w:tr>
        <w:trPr>
          <w:trHeight w:val="236"/>
        </w:trPr>
        <w:tc>
          <w:tcPr>
            <w:tcW w:w="8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107,984,715</w:t>
            </w:r>
          </w:p>
        </w:tc>
      </w:tr>
      <w:tr>
        <w:trPr>
          <w:trHeight w:val="237"/>
        </w:trPr>
        <w:tc>
          <w:tcPr>
            <w:tcW w:w="8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5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181,865,975</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735,745,003</w:t>
            </w:r>
          </w:p>
        </w:tc>
      </w:tr>
      <w:tr>
        <w:trPr>
          <w:trHeight w:val="237"/>
        </w:trPr>
        <w:tc>
          <w:tcPr>
            <w:tcW w:w="8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917,610,978</w:t>
            </w:r>
          </w:p>
        </w:tc>
      </w:tr>
    </w:tbl>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6"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DESCRIPTION OF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MasTec, Inc. 401(k) Retirement Plan (the “Plan”), as amended, provides only 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 is a defined contribution plan covering all eligible employees of MasTec, Inc. and its subsidiaries that elect to participate in the Plan (collectively, the “Company”) who have completed at least one (1) full calendar month of employment. Employees enter the Plan on the first day of the month coinciding with or the next month following the date on which they meet the eligibility requirements. The Plan is subject to the provisions of the Employee Retirement Income Security Act of 1974 (“ERISA”), as amended. Effective October 1, 2025, the Plan’s trustee, custodian and recordkeeper was changed from Bank of America Merrill Lynch (“Merrill Lynch”) to Schwab Retirement Plan Services, Inc. and Charles Schwab Trust Bank, respectively (collectively, “Schwab”). In connection with this change, plan assets totaling approximately $884,820,204, including $19,331,614 of notes receivables from participants, were transferred from Merrill Lynch to Schwab. A blackout period was in effect from September 22, 2025 to October 23, 2025 during which participants were temporarily unable to direct investments, request loans or take distributions from the Plan.</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Investment Committee is responsible for oversight of the Plan and determines the appropriateness of the Plan’s investment offerings and monitors investment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has a Safe Harbor match, which provides for a match of 100 percent of a participant’s salary deferrals that do not exceed 3 percent of the participant’s compensation plus 50 percent of a participant’s salary deferral between 3 percent and 5 percent of the participant’s compensation. The match is credited on a quarterly basis, in the months of April, July, October of the current year, and January of the following year. The Company’s matching contribution is funded 50 percent in the form of the Company’s common stock, and 50 percent in cash, which is invested in accordance with each participant’s investment directive. The Company’s Safe Harbor matching contributions are vested immediately. Participants can change their investment options with respect to the matching contributions made in the form of the Company’s common stock as soon as the matching contribution is funded, subject to the terms of the Plan. The Plan also allows for a discretionary profit sharing contribution.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Contributions from participants are recorded when payroll deductions are made. The Plan is required to return contributions received during the Plan year in excess of the Internal Revenue Service (“IRS”) limits. Subject to the terms of the Plan, participants may also contribute amounts representing distributions from other qualified defined benefit or defined contribution plans. Participants who have attained age 50 during the calendar year are eligible to make catch-up contributions to the Plan. Upon enrollment, a participant may direct employee contributions, in 1 percent increments, into various investment options offered by the Plan. Participants may change their investment options daily. Effective January 1, 2025, the Plan adopted the optional provisions of Section 109 of the SECURE 2.0 Act of 2022, which increases the catch-up contribution limit for participants who attain ages 60 through 63 during the calendar year to the greater of $10,000 or 150% of the regular catch-up contribution limit. For the year ended December 31, 2025, this enhanced catch-up contribution limit was $11,250.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Participants’ Accounts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Company’s matching contributions, as well as allocations of Plan’s earnings. Participant accounts are charged with an allocation of administrative expenses that are paid by the Plan. Allocations are based on participant earnings, account balances, or specific participant transactions, as defined in the Plan. Loan and distribution expenses are charged directly to the respective participant.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vest immediately in their contributions plus actual earnings thereon and amounts rolled over into the Plan. In addition, all Safe Harbor matching contributions vest immediately.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interested on a profit sharing contribution account is determined by the following schedule, based on the years of service.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 year of Vesting Service ..............</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33.00% Vested</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w w:val="97"/>
              </w:rPr>
              <w:t>2 years of Vesting Service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Vested</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3 years of Vesting Service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Vested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Forfeitures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Forfeitures of participant account balances are allocated to the general funds of the Plan and can be used to pay administrative expenses of the Plan and to reduce contributions otherwise required of the Company. Any remaining forfeitures shall be allocated to participants. At December 31, 2025 there were no unallocated forfeited accounts. At December 31, 2024, unallocated forfeited accounts totaled $46,075. The Company has elected to use the forfeitures to reduce employer contributions. During the year ended December 31, 2025, no forfeitures were used to pay administrative fees. During the year ended December 31, 2024, $14,525 of forfeitures were used to reduce employer contributions.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Notes receivable from participants consist of participant loans that are secured by the balance in the participant’s account. Each participant may have only one loan outstanding at any given time. The Plan’s loan feature allows participants to borrow up to a maximum equal to the lesser of $50,000 or 50 percent of their vested account balance. The loans bear interest at the published prime rate in the Wall Street Journal plus 1 percent, at the date of the loan. The annual interest rate charged on participant loans outstanding during the year ended December 31, 2025 ranged from 4.25 percent to 9.50 percent. Loan terms range from 1 to 5 years or may exceed 5 years for the purchase of a primary residence. Loans provide level amortization for repayments to be made not less frequently than on a quarterly basis. For participants receiving pay from the Company, principal and interest is paid ratably through payroll deductions. For Participants who have separated from service or are on unpaid leave, principal and interest may be paid via direct debit origination or by remitting a check directly to the Company. Participants pay certain administrative expenses associated with the loan. If any scheduled loan repayments remain outstanding beyond the last day of the calendar quarter following the calendar quarter in which the last payment was due, the participant loan will be placed in default and reported as deemed distribution.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receive a distribution of the vested portion of their accounts under the Plan for the following reasons: (i) termination of employment for reasons other than death, disability or retirement, (ii) normal retirement, (iii) disability, or (iv) death. In addition, participants may be eligible to receive distributions while still employed with the Company under certain limited circumstances. Distributions are generally paid in a single lump-sum payment or in substantially equal installments.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 in accordance with accounting principles generally accepted in the United States of America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Valuation and Income Recognition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See Note C for discussion of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includes the Plan’s gains and losses on investment bought and sold as well as held during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 Receivable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contributions and any related employer matching contributions are recognized in the period during which the Company makes the respective payroll deduction from the participant’s compensation. Profit sharing contributions are recorded in the relevant period in accordance with the terms of the Plan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unpaid interest. Related fees are recorded as administrative expenses and are expensed when they are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administrative expenses of the Plan are chargeable to the Plan as allowed under ERISA. The Company may, at its sole discretion, pay any such expenses, in whole or in part. Expenses that are paid by the Company are excluded from these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 Payments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Benefits are recorded when paid. At December 31, 2025 and 2024, there were $1,736,420 and $129,520, respectively, allocated to accounts of persons who had elected to withdraw from the Plan, but had not been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FAIR VALUE MEASUREMENT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FASB ASC 820 are described as follows:</w:t>
      </w:r>
    </w:p>
    <w:p>
      <w:pPr>
        <w:spacing w:after="0" w:line="176"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in active markets for identical assets or liabilities that the Plan has the ability to access at measurement date.</w:t>
      </w:r>
    </w:p>
    <w:p>
      <w:pPr>
        <w:spacing w:after="0" w:line="16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25" w:lineRule="exact"/>
        <w:rPr>
          <w:sz w:val="20"/>
          <w:szCs w:val="20"/>
          <w:color w:val="auto"/>
        </w:rPr>
      </w:pPr>
    </w:p>
    <w:p>
      <w:pPr>
        <w:ind w:left="1620" w:hanging="478"/>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assets or liability.</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Valuation Techniques: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techniques maximize the use of relevant observable inputs and minimize the use of unobservable inputs. The following is a description of the valuation methodologies used for assets measured at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Money market funds — </w:t>
      </w:r>
      <w:r>
        <w:rPr>
          <w:rFonts w:ascii="Times New Roman" w:cs="Times New Roman" w:eastAsia="Times New Roman" w:hAnsi="Times New Roman"/>
          <w:sz w:val="18"/>
          <w:szCs w:val="18"/>
          <w:color w:val="auto"/>
        </w:rPr>
        <w:t>Valued at the daily closing price as reported by the fund.</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 </w:t>
      </w:r>
      <w:r>
        <w:rPr>
          <w:rFonts w:ascii="Times New Roman" w:cs="Times New Roman" w:eastAsia="Times New Roman" w:hAnsi="Times New Roman"/>
          <w:sz w:val="18"/>
          <w:szCs w:val="18"/>
          <w:color w:val="auto"/>
        </w:rPr>
        <w:t>Valued at the daily closing price as reported by the fund. Mutual funds held by the Plan are open-ended mutual funds that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(“SEC”). These funds are required to publish their daily net asset value (“NAV”) and to transact at that price. The mutual funds held by the Plan are deemed to be actively traded.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October 1, 2025, the Plan offered a stable value fund composed primarily of fully benefit-responsive investment contracts that was reported at fair value using NAV as a practical expedient. The stable value fund calculated NAV per share in a manner consistent with the measurement principles in FASB Accounting Standards Codification Topic 946 Financial Services — Investment Companies. Those measurement principles indicate that, in the determination of a stable value fund's NAV, the relevant measurement is net assets which include the fully benefit-responsive investment contracts held by the fund at contract value. This NAV represented the Plan's fair value since this was the NAV at which the Plan transacted with the fund. This practical expedient was not used when it was determined to be probable that the fund would sell the investment for an amount different than the reported net asset value. Participant transactions (purchases and sales) could occur daily. If the Plan initiated a full redemption of the collective trust, the issuer reserved the right to require 12 months' notification in order to ensure that securities liquidations would be carried out in an orderly business manner.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Plan's change in recordkeeper from Merrill Lynch to Schwab, the stable value fund was liquidated during September 2025. Participant balances were transferred at contract value to BlackRock Liquidity T-Fund. No market value adjustment was applied to participant balances. As of December 31, 2025, the Plan held no fully benefit-responsive investment contracts.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individual investments that represent the Plan’s net assets as of December 31,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 (a)</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604,034,466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516,591,992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MasTec, Inc.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241,764,546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154,448,893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42,026,459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10,268,513</w:t>
            </w:r>
          </w:p>
        </w:tc>
      </w:tr>
      <w:tr>
        <w:trPr>
          <w:trHeight w:val="223"/>
        </w:trPr>
        <w:tc>
          <w:tcPr>
            <w:tcW w:w="8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887,825,471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681,309,398</w:t>
            </w:r>
          </w:p>
        </w:tc>
      </w:tr>
      <w:tr>
        <w:trPr>
          <w:trHeight w:val="5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(b)</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28,720,117</w:t>
            </w:r>
          </w:p>
        </w:tc>
      </w:tr>
      <w:tr>
        <w:trPr>
          <w:trHeight w:val="223"/>
        </w:trPr>
        <w:tc>
          <w:tcPr>
            <w:tcW w:w="8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28,720,117</w:t>
            </w:r>
          </w:p>
        </w:tc>
      </w:tr>
    </w:tbl>
    <w:p>
      <w:pPr>
        <w:spacing w:after="0" w:line="279" w:lineRule="exact"/>
        <w:rPr>
          <w:sz w:val="20"/>
          <w:szCs w:val="20"/>
          <w:color w:val="auto"/>
        </w:rPr>
      </w:pPr>
    </w:p>
    <w:p>
      <w:pPr>
        <w:ind w:left="660" w:right="20" w:hanging="328"/>
        <w:spacing w:after="0" w:line="282"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MasTec, Inc. common stock and money market funds have been classified within Level 1 of the fair value hierarchy. MasTec, Inc. stock is valued at its quoted price on the last business day of the Plan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statements of the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Measured Using the Net Asset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Plan held no investments measured using net asset value per share as a practical expedient.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(If Currently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Notice</w:t>
            </w: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28,720,117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Annually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TAX STATUS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 Pre-Approved Defined Contribution Plan document from Schwab and the Plan is subject to a favorable IRS opinion letter dated September 21, 2020, indicating that the Plan and related trust are designed in accordance with applicable sections of the Internal Revenue Code (“IRC”). The Plan administrator believes that the Plan is designed, and is currently being operated, in compliance with the applicable requirements of the IRC and, therefore, believes that the Plan is qualified, and the related trust is tax-exempt.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RISKS AND UNCERTAINTIES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 Due to the level of risk associated with certain investment securities and the level of uncertainty related to changes in the value of investment securities, it is at least reasonably possible that these risks in the near term would materially affect participants’ account balances and the amounts reported in the statements of net assets available for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RELATED-PARTY TRANSACTIONS AND PARTY-IN-INTEREST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Plan investments are managed by the Plan's recordkeeper. Effective October 1, 2025, the Plan's trustee and recordkeeper changed from Merrill Lynch to Schwab. Both Merrill Lynch and Schwab served as trustee and recordkeeper for portions of the plan year and, therefore, transactions with each qualify as party-in-interest transactions. Fees paid by the Plan for investment management services amounted to $1,057,576 for the year ended December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holds shares of MasTec, Inc. common stock, 1,112,226 and 1,134,486 shares as of December 31, 2025 and 2024, respectively, and recorded net realized gains on sales, $87,938,512 and $5,334,259 during 2025 and 2024, respectively, and net unrealized appreciation in value of these securities, $5,778,538 and $65,162,850 during 2025 and 2024, respectively. During the year ended December 31, 2025 purchases and sales of MasTec, Inc. commons stock were $29,791,477 and $182,870,389,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invests in the common stock of MasTec, Inc., the plan sponsor. The fair market value of the MasTec, Inc. common stock at December 31, 2025 and 2024 was $241,764,546 and $154,448,893,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participants also qualify as exempt party-in-interest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PLAN TERMINATION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percent vested in their employer contributions.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NON-EXEMPT TRANSACTIONS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Plan years ended December 31, 2025 and 2024, employee withholdings in the amounts of $12,631 and $2,994, respectively, were not remitted within the appropriate time period by the Company. These transactions constitute prohibited transactions as defined by ERISA. The Company is aware of the occurrence and has taken the appropriate steps to correct the situation. Estimated interest assessed on these amounts were $142 and $577, for the years ended December 31, 2025 and 2024, respectively. The lost earnings were remitted to the Plan during 2025 and 2026.The Company has chosen to correct this without use of the Voluntary Fiduciary Contribution Program. Furthermore, the Company does not believe that these prohibited transactions will have a material impact on the accompanying financial statements and supplemental schedules.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SUBSEQUENT EVENTS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2026, in accordance with Section 603 of the SECURE 2.0 Act of 2022, the Plan requires that catch-up contributions made by participants whose prior-year FICA wages exceeded $150,000 be designated as Roth (after-tax) contributions. Participants not meeting this wage threshold may continue to make catch-up contributions on either a pre-tax or Roth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evaluated subsequent events through June 26, 2026,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MasTec,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Employer Identification Number 65-0829355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 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DELINQUENT PARTICIPANT CONTRIBUTIONS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7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that Constitute Nonexempt Prohibited Transactions</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74"/>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Check here if Late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24"/>
                <w:szCs w:val="24"/>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Total Fully</w:t>
            </w:r>
          </w:p>
        </w:tc>
      </w:tr>
      <w:tr>
        <w:trPr>
          <w:trHeight w:val="146"/>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Participant Loan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Not Corrected</w:t>
            </w:r>
          </w:p>
        </w:tc>
        <w:tc>
          <w:tcPr>
            <w:tcW w:w="144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Corrected Outside</w:t>
            </w:r>
          </w:p>
        </w:tc>
        <w:tc>
          <w:tcPr>
            <w:tcW w:w="300" w:type="dxa"/>
            <w:vAlign w:val="bottom"/>
          </w:tcPr>
          <w:p>
            <w:pPr>
              <w:spacing w:after="0"/>
              <w:rPr>
                <w:sz w:val="12"/>
                <w:szCs w:val="12"/>
                <w:color w:val="auto"/>
              </w:rPr>
            </w:pPr>
          </w:p>
        </w:tc>
        <w:tc>
          <w:tcPr>
            <w:tcW w:w="160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Pending</w:t>
            </w:r>
          </w:p>
        </w:tc>
        <w:tc>
          <w:tcPr>
            <w:tcW w:w="142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Corrected Under</w:t>
            </w:r>
          </w:p>
        </w:tc>
      </w:tr>
      <w:tr>
        <w:trPr>
          <w:trHeight w:val="137"/>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3"/>
              <w:spacing w:after="0" w:line="137" w:lineRule="exact"/>
              <w:rPr>
                <w:sz w:val="20"/>
                <w:szCs w:val="20"/>
                <w:color w:val="auto"/>
              </w:rPr>
            </w:pPr>
            <w:r>
              <w:rPr>
                <w:rFonts w:ascii="Times New Roman" w:cs="Times New Roman" w:eastAsia="Times New Roman" w:hAnsi="Times New Roman"/>
                <w:sz w:val="14"/>
                <w:szCs w:val="14"/>
                <w:b w:val="1"/>
                <w:bCs w:val="1"/>
                <w:color w:val="auto"/>
              </w:rPr>
              <w:t>Repayments are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4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VFCP*</w:t>
            </w:r>
          </w:p>
        </w:tc>
        <w:tc>
          <w:tcPr>
            <w:tcW w:w="300" w:type="dxa"/>
            <w:vAlign w:val="bottom"/>
          </w:tcPr>
          <w:p>
            <w:pPr>
              <w:spacing w:after="0"/>
              <w:rPr>
                <w:sz w:val="11"/>
                <w:szCs w:val="11"/>
                <w:color w:val="auto"/>
              </w:rPr>
            </w:pPr>
          </w:p>
        </w:tc>
        <w:tc>
          <w:tcPr>
            <w:tcW w:w="160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Correction in</w:t>
            </w:r>
          </w:p>
        </w:tc>
        <w:tc>
          <w:tcPr>
            <w:tcW w:w="1420" w:type="dxa"/>
            <w:vAlign w:val="bottom"/>
          </w:tcPr>
          <w:p>
            <w:pPr>
              <w:jc w:val="center"/>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VFCP* and PTE**</w:t>
            </w:r>
          </w:p>
        </w:tc>
      </w:tr>
      <w:tr>
        <w:trPr>
          <w:trHeight w:val="146"/>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VFCP*</w:t>
            </w:r>
          </w:p>
        </w:tc>
        <w:tc>
          <w:tcPr>
            <w:tcW w:w="142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2002-51</w:t>
            </w:r>
          </w:p>
        </w:tc>
      </w:tr>
      <w:tr>
        <w:trPr>
          <w:trHeight w:val="203"/>
        </w:trPr>
        <w:tc>
          <w:tcPr>
            <w:tcW w:w="2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3"/>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296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12,631</w:t>
            </w:r>
          </w:p>
        </w:tc>
        <w:tc>
          <w:tcPr>
            <w:tcW w:w="300" w:type="dxa"/>
            <w:vAlign w:val="bottom"/>
          </w:tcPr>
          <w:p>
            <w:pPr>
              <w:spacing w:after="0"/>
              <w:rPr>
                <w:sz w:val="20"/>
                <w:szCs w:val="20"/>
                <w:color w:val="auto"/>
              </w:rPr>
            </w:pPr>
          </w:p>
        </w:tc>
        <w:tc>
          <w:tcPr>
            <w:tcW w:w="1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64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Fiduciary Correction Program (DOL) ** Prohibited Transaction Exemption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MasTec,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Employer Identification Number 65-0829355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 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6"/>
                <w:szCs w:val="16"/>
                <w:color w:val="auto"/>
              </w:rPr>
            </w:pPr>
          </w:p>
        </w:tc>
        <w:tc>
          <w:tcPr>
            <w:tcW w:w="460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(b)</w:t>
            </w:r>
          </w:p>
        </w:tc>
        <w:tc>
          <w:tcPr>
            <w:tcW w:w="1820" w:type="dxa"/>
            <w:vAlign w:val="bottom"/>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w:t>
            </w:r>
          </w:p>
        </w:tc>
        <w:tc>
          <w:tcPr>
            <w:tcW w:w="200" w:type="dxa"/>
            <w:vAlign w:val="bottom"/>
          </w:tcPr>
          <w:p>
            <w:pPr>
              <w:spacing w:after="0"/>
              <w:rPr>
                <w:sz w:val="16"/>
                <w:szCs w:val="16"/>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Identity of Issuer, Borrower, Lessor or Similar Party</w:t>
            </w:r>
          </w:p>
        </w:tc>
        <w:tc>
          <w:tcPr>
            <w:tcW w:w="3100" w:type="dxa"/>
            <w:vAlign w:val="bottom"/>
            <w:gridSpan w:val="4"/>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Maturity Date, Rate of Interest, Par</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00" w:type="dxa"/>
            <w:vAlign w:val="bottom"/>
          </w:tcPr>
          <w:p>
            <w:pPr>
              <w:spacing w:after="0"/>
              <w:rPr>
                <w:sz w:val="12"/>
                <w:szCs w:val="12"/>
                <w:color w:val="auto"/>
              </w:rPr>
            </w:pPr>
          </w:p>
        </w:tc>
        <w:tc>
          <w:tcPr>
            <w:tcW w:w="12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31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or Maturity Value</w:t>
            </w: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Contract #115790 with Charles Schwab Trust</w:t>
            </w: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Bank :</w:t>
            </w:r>
          </w:p>
        </w:tc>
        <w:tc>
          <w:tcPr>
            <w:tcW w:w="1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Total Return Fund K</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107,513,900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MFS Growth Fund R6</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66,942,522</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iShares S&amp;P 500 Index Fund Class K</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60,126,191</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Columbia Dividend Income Institutional 3 Class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51,930,532</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Baird Short Term Bond</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51,525,089</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T-Fund Premier Class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42,026,459</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Janus Henderson Enterprise Fund Class N</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28,221,790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Inflation Protected Fund Class K</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28,109,311</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Causeway International Value</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26,278,599</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MFS International Growth R6</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25,464,636</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Low Priced Stock Fund K6</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25,457,204</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Seafarer Overseas Growth</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17,940,693</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Undiscovered Managers Behavioral Value Fund Class R6</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17,616,250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PGIM High Yiel Fund R6</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17,603,376</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MFS International Diversification Fund R6</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16,120,590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Discovery Fund Class R6</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12,216,505</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PIMCO Commodity Real Return Strategy Fund Class I</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11,007,392</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Rowe Price Dividend Growth Fund</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9,104,698</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Real Estate SEC R6</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9,045,920</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Vanguard Total International Stock Index Fund Admiral</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8,935,777</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Total Bond Market Index Fund Admiral Class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6,503,762</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Freedom Index Target Date Series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4,674,035</w:t>
            </w:r>
          </w:p>
        </w:tc>
        <w:tc>
          <w:tcPr>
            <w:tcW w:w="0" w:type="dxa"/>
            <w:vAlign w:val="bottom"/>
          </w:tcPr>
          <w:p>
            <w:pPr>
              <w:spacing w:after="0"/>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PIMCO Foreign Bond Fund (US Dollar-Hedged) Institutional</w:t>
            </w:r>
          </w:p>
        </w:tc>
        <w:tc>
          <w:tcPr>
            <w:tcW w:w="1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1,695,094</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Treasury Money Market Fund</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148"/>
        </w:trPr>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MasTec, Inc. Stock</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241,764,546</w:t>
            </w:r>
          </w:p>
        </w:tc>
        <w:tc>
          <w:tcPr>
            <w:tcW w:w="0" w:type="dxa"/>
            <w:vAlign w:val="bottom"/>
          </w:tcPr>
          <w:p>
            <w:pPr>
              <w:spacing w:after="0"/>
              <w:rPr>
                <w:sz w:val="1"/>
                <w:szCs w:val="1"/>
                <w:color w:val="auto"/>
              </w:rPr>
            </w:pPr>
          </w:p>
        </w:tc>
      </w:tr>
      <w:tr>
        <w:trPr>
          <w:trHeight w:val="175"/>
        </w:trPr>
        <w:tc>
          <w:tcPr>
            <w:tcW w:w="600" w:type="dxa"/>
            <w:vAlign w:val="bottom"/>
            <w:shd w:val="clear" w:color="auto" w:fill="CCEEFF"/>
          </w:tcPr>
          <w:p>
            <w:pPr>
              <w:jc w:val="right"/>
              <w:ind w:right="396"/>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rates range from</w:t>
            </w:r>
          </w:p>
        </w:tc>
        <w:tc>
          <w:tcPr>
            <w:tcW w:w="1280" w:type="dxa"/>
            <w:vAlign w:val="bottom"/>
            <w:gridSpan w:val="3"/>
            <w:shd w:val="clear" w:color="auto" w:fill="CCEEFF"/>
          </w:tcPr>
          <w:p>
            <w:pPr>
              <w:jc w:val="right"/>
              <w:ind w:right="580"/>
              <w:spacing w:after="0" w:line="176" w:lineRule="exact"/>
              <w:rPr>
                <w:sz w:val="20"/>
                <w:szCs w:val="20"/>
                <w:color w:val="auto"/>
              </w:rPr>
            </w:pPr>
            <w:r>
              <w:rPr>
                <w:rFonts w:ascii="Times New Roman" w:cs="Times New Roman" w:eastAsia="Times New Roman" w:hAnsi="Times New Roman"/>
                <w:sz w:val="18"/>
                <w:szCs w:val="18"/>
                <w:color w:val="auto"/>
              </w:rPr>
              <w:t>4.25% to</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9.50%</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20,260,287</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908,085,758</w:t>
            </w:r>
          </w:p>
        </w:tc>
        <w:tc>
          <w:tcPr>
            <w:tcW w:w="0" w:type="dxa"/>
            <w:vAlign w:val="bottom"/>
          </w:tcPr>
          <w:p>
            <w:pPr>
              <w:spacing w:after="0"/>
              <w:rPr>
                <w:sz w:val="1"/>
                <w:szCs w:val="1"/>
                <w:color w:val="auto"/>
              </w:rPr>
            </w:pPr>
          </w:p>
        </w:tc>
      </w:tr>
      <w:tr>
        <w:trPr>
          <w:trHeight w:val="256"/>
        </w:trPr>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Represents a party-in-interest as defined by ERISA</w:t>
      </w:r>
    </w:p>
    <w:p>
      <w:pPr>
        <w:spacing w:after="0" w:line="225"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participant-directed investments is not required to be disclosed.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MasTec, Inc. 401(k) Retirement Plan</w:t>
            </w:r>
          </w:p>
        </w:tc>
      </w:tr>
      <w:tr>
        <w:trPr>
          <w:trHeight w:val="499"/>
        </w:trPr>
        <w:tc>
          <w:tcPr>
            <w:tcW w:w="3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 R. Mas</w:t>
            </w:r>
          </w:p>
        </w:tc>
      </w:tr>
      <w:tr>
        <w:trPr>
          <w:trHeight w:val="228"/>
        </w:trPr>
        <w:tc>
          <w:tcPr>
            <w:tcW w:w="3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 of MasTec, Inc.</w:t>
            </w:r>
          </w:p>
        </w:tc>
      </w:tr>
      <w:tr>
        <w:trPr>
          <w:trHeight w:val="495"/>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June 26, 2026</w:t>
            </w:r>
          </w:p>
        </w:tc>
        <w:tc>
          <w:tcPr>
            <w:tcW w:w="208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DiMarco</w:t>
            </w:r>
          </w:p>
        </w:tc>
      </w:tr>
      <w:tr>
        <w:trPr>
          <w:trHeight w:val="228"/>
        </w:trPr>
        <w:tc>
          <w:tcPr>
            <w:tcW w:w="3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of MasTec, Inc.</w:t>
            </w:r>
          </w:p>
        </w:tc>
      </w:tr>
      <w:tr>
        <w:trPr>
          <w:trHeight w:val="903"/>
        </w:trPr>
        <w:tc>
          <w:tcPr>
            <w:tcW w:w="3520" w:type="dxa"/>
            <w:vAlign w:val="bottom"/>
          </w:tcPr>
          <w:p>
            <w:pPr>
              <w:spacing w:after="0"/>
              <w:rPr>
                <w:sz w:val="24"/>
                <w:szCs w:val="24"/>
                <w:color w:val="auto"/>
              </w:rPr>
            </w:pPr>
          </w:p>
        </w:tc>
        <w:tc>
          <w:tcPr>
            <w:tcW w:w="7700" w:type="dxa"/>
            <w:vAlign w:val="bottom"/>
            <w:gridSpan w:val="2"/>
          </w:tcPr>
          <w:p>
            <w:pPr>
              <w:jc w:val="right"/>
              <w:ind w:right="5450"/>
              <w:spacing w:after="0"/>
              <w:rPr>
                <w:sz w:val="20"/>
                <w:szCs w:val="20"/>
                <w:color w:val="auto"/>
              </w:rPr>
            </w:pPr>
            <w:r>
              <w:rPr>
                <w:rFonts w:ascii="Times New Roman" w:cs="Times New Roman" w:eastAsia="Times New Roman" w:hAnsi="Times New Roman"/>
                <w:sz w:val="14"/>
                <w:szCs w:val="14"/>
                <w:color w:val="auto"/>
              </w:rPr>
              <w:t>14</w:t>
            </w:r>
          </w:p>
        </w:tc>
      </w:tr>
    </w:tbl>
    <w:p>
      <w:pPr>
        <w:sectPr>
          <w:pgSz w:w="11900" w:h="16838" w:orient="portrait"/>
          <w:cols w:equalWidth="0" w:num="1">
            <w:col w:w="11240"/>
          </w:cols>
          <w:pgMar w:left="320" w:top="11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333-139996, No. 033-55327 and No. 333-277593) of MasTec, Inc. of our report dated June 26, 2026, relating to the financial statements and supplemental schedules of The MasTec, Inc. 401(k) Retirement Plan which appear in this Form 11-K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2026-06-26T18:37:31Z</dcterms:created>
  <dcterms:modified xsi:type="dcterms:W3CDTF">2026-06-26T18:37:31Z</dcterms:modified>
</cp:coreProperties>
</file>