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2972d424b7.htm"/>
        <w:bookmarkStart w:id="1" w:name="ksd162972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br/>
        <w:t>Registration No. 333-285425</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dated July 31,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PROSPECTUS SUPPLEMENT </w:t>
      </w:r>
    </w:p>
    <w:p>
      <w:pPr>
        <w:pStyle w:val="TextBody"/>
        <w:bidi w:val="0"/>
        <w:spacing w:before="0" w:after="0"/>
        <w:jc w:val="left"/>
        <w:rPr>
          <w:rFonts w:ascii="Times New Roman" w:hAnsi="Times New Roman"/>
          <w:sz w:val="20"/>
        </w:rPr>
      </w:pPr>
      <w:r>
        <w:rPr>
          <w:rFonts w:ascii="Times New Roman" w:hAnsi="Times New Roman"/>
          <w:sz w:val="20"/>
        </w:rPr>
        <w:t xml:space="preserve">(To prospectus dated February 28, 2025) </w:t>
      </w:r>
    </w:p>
    <w:p>
      <w:pPr>
        <w:pStyle w:val="TextBody"/>
        <w:bidi w:val="0"/>
        <w:spacing w:before="240" w:after="0"/>
        <w:jc w:val="center"/>
        <w:rPr>
          <w:rFonts w:ascii="Times New Roman" w:hAnsi="Times New Roman"/>
          <w:b/>
          <w:sz w:val="36"/>
        </w:rPr>
      </w:pPr>
      <w:r>
        <w:rPr>
          <w:rFonts w:ascii="Times New Roman" w:hAnsi="Times New Roman"/>
          <w:b/>
          <w:sz w:val="36"/>
        </w:rPr>
        <w:t xml:space="preserve">1,219,498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47850" cy="3314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3314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described in this prospectus supplement are being offered for sale from time to time by the selling shareholders named herein. The selling shareholders, or their permitted transferees or other successors-in-interest may offer the shares from time to time through public or private transactions at prevailing market prices, at prices related to prevailing market prices or at privately negotiated prices. We will not receive any proceeds from the selling shareholders’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“MTZ.” On July 28, 2026, the last reported sale price of our common stock on the New York Stock Exchange was $312.44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rom162972_4">
        <w:r>
          <w:rPr>
            <w:rStyle w:val="InternetLink"/>
            <w:rFonts w:ascii="Times New Roman" w:hAnsi="Times New Roman"/>
            <w:b/>
            <w:sz w:val="24"/>
          </w:rPr>
          <w:t>Risk Factors</w:t>
        </w:r>
      </w:hyperlink>
      <w:r>
        <w:rPr>
          <w:rFonts w:ascii="Times New Roman" w:hAnsi="Times New Roman"/>
          <w:b/>
          <w:sz w:val="24"/>
        </w:rPr>
        <w:t>” on page S-3 of this prospectus supplement and the documents we incorporate by reference, including our most recent Annual Report on Form 10-K.</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or the “Commission”) nor any state securities commission has approved or disapproved of these securities or determined if this prospectus supplement or accompanying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July 31, 2026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and the accompanying prospectus. We have not authorized anyone to provide you with different or additional information. If anyone provides you with different or additional information, you should not rely on it. We are not making an offer to sell these securities in any jurisdiction where the offer or sale is not permitted. You should not assume that the information contained in this prospectus supplement or the accompanying prospectus and the documents incorporated by reference herein and therein is accurate as of any date other than their respective dates. Our business, financial condition, liquidity, results of operations and prospects may have changed since those dates.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2"/>
        <w:gridCol w:w="252"/>
        <w:gridCol w:w="75"/>
        <w:gridCol w:w="453"/>
        <w:gridCol w:w="63"/>
      </w:tblGrid>
      <w:tr>
        <w:trPr/>
        <w:tc>
          <w:tcPr>
            <w:tcW w:w="9362"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1">
              <w:r>
                <w:rPr>
                  <w:rStyle w:val="InternetLink"/>
                  <w:rFonts w:ascii="Times New Roman" w:hAnsi="Times New Roman"/>
                  <w:sz w:val="20"/>
                </w:rPr>
                <w:t>About This Prospectus Supplement</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2">
              <w:r>
                <w:rPr>
                  <w:rStyle w:val="InternetLink"/>
                  <w:rFonts w:ascii="Times New Roman" w:hAnsi="Times New Roman"/>
                  <w:sz w:val="20"/>
                </w:rPr>
                <w:t>Forward-Looking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3">
              <w:r>
                <w:rPr>
                  <w:rStyle w:val="InternetLink"/>
                  <w:rFonts w:ascii="Times New Roman" w:hAnsi="Times New Roman"/>
                  <w:sz w:val="20"/>
                </w:rPr>
                <w:t>Summary</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4">
              <w:r>
                <w:rPr>
                  <w:rStyle w:val="InternetLink"/>
                  <w:rFonts w:ascii="Times New Roman" w:hAnsi="Times New Roman"/>
                  <w:sz w:val="20"/>
                </w:rPr>
                <w:t>Risk Factors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5">
              <w:r>
                <w:rPr>
                  <w:rStyle w:val="InternetLink"/>
                  <w:rFonts w:ascii="Times New Roman" w:hAnsi="Times New Roman"/>
                  <w:sz w:val="20"/>
                </w:rPr>
                <w:t>Use of Proceeds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6">
              <w:r>
                <w:rPr>
                  <w:rStyle w:val="InternetLink"/>
                  <w:rFonts w:ascii="Times New Roman" w:hAnsi="Times New Roman"/>
                  <w:sz w:val="20"/>
                </w:rPr>
                <w:t>Selling Shareholders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S-4</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7">
              <w:r>
                <w:rPr>
                  <w:rStyle w:val="InternetLink"/>
                  <w:rFonts w:ascii="Times New Roman" w:hAnsi="Times New Roman"/>
                  <w:sz w:val="20"/>
                </w:rPr>
                <w:t>Plan of Distribution</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362" w:type="dxa"/>
            <w:tcBorders/>
            <w:vAlign w:val="bottom"/>
          </w:tcPr>
          <w:p>
            <w:pPr>
              <w:pStyle w:val="TableContents"/>
              <w:bidi w:val="0"/>
              <w:spacing w:before="0" w:after="0"/>
              <w:jc w:val="left"/>
              <w:rPr/>
            </w:pPr>
            <w:hyperlink w:anchor="supprom162972_8">
              <w:r>
                <w:rPr>
                  <w:rStyle w:val="InternetLink"/>
                  <w:rFonts w:ascii="Times New Roman" w:hAnsi="Times New Roman"/>
                  <w:sz w:val="20"/>
                </w:rPr>
                <w:t>Legal Matters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x162972_1">
              <w:r>
                <w:rPr>
                  <w:rStyle w:val="InternetLink"/>
                  <w:rFonts w:ascii="Times New Roman" w:hAnsi="Times New Roman"/>
                  <w:sz w:val="20"/>
                </w:rPr>
                <w:t>Important Information 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2">
              <w:r>
                <w:rPr>
                  <w:rStyle w:val="InternetLink"/>
                  <w:rFonts w:ascii="Times New Roman" w:hAnsi="Times New Roman"/>
                  <w:sz w:val="20"/>
                </w:rPr>
                <w:t>Forward-Looking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3">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4">
              <w:r>
                <w:rPr>
                  <w:rStyle w:val="InternetLink"/>
                  <w:rFonts w:ascii="Times New Roman" w:hAnsi="Times New Roman"/>
                  <w:sz w:val="20"/>
                </w:rPr>
                <w:t>Our Company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6">
              <w:r>
                <w:rPr>
                  <w:rStyle w:val="InternetLink"/>
                  <w:rFonts w:ascii="Times New Roman" w:hAnsi="Times New Roman"/>
                  <w:sz w:val="20"/>
                </w:rPr>
                <w:t>Description of Common and Preferred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7">
              <w:r>
                <w:rPr>
                  <w:rStyle w:val="InternetLink"/>
                  <w:rFonts w:ascii="Times New Roman" w:hAnsi="Times New Roman"/>
                  <w:sz w:val="20"/>
                </w:rPr>
                <w:t>Description of Depositary Shares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8">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9">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10">
              <w:r>
                <w:rPr>
                  <w:rStyle w:val="InternetLink"/>
                  <w:rFonts w:ascii="Times New Roman" w:hAnsi="Times New Roman"/>
                  <w:sz w:val="20"/>
                </w:rPr>
                <w:t>Description of Stock Purchase Contracts and Stock Purchase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11">
              <w:r>
                <w:rPr>
                  <w:rStyle w:val="InternetLink"/>
                  <w:rFonts w:ascii="Times New Roman" w:hAnsi="Times New Roman"/>
                  <w:sz w:val="20"/>
                </w:rPr>
                <w:t>Selling Security Holders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12">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13">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14">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15">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62972_16">
              <w:r>
                <w:rPr>
                  <w:rStyle w:val="InternetLink"/>
                  <w:rFonts w:ascii="Times New Roman" w:hAnsi="Times New Roman"/>
                  <w:sz w:val="20"/>
                </w:rPr>
                <w:t>Incorporation of Certain Documents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have indicated, or the context otherwise requires, references in this prospectus supplement to “MasTec,” the “Company,” “we,” “us,” “our,” or similar terms are to MasTec,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62972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information to you about this offering in two parts. The first part is this prospectus supplement, which provides the specific details regarding this offering. The second part is the accompanying base prospectus, which provides general information. Generally, when we refer to this “prospectus,” we are referring to both documents combined. Some of the information in the base prospectus may not apply to this offering. If information in the prospectus supplement is inconsistent with the accompanying base prospectus, you should rely on this prospectus supplement. </w:t>
      </w:r>
    </w:p>
    <w:p>
      <w:pPr>
        <w:pStyle w:val="TextBody"/>
        <w:bidi w:val="0"/>
        <w:spacing w:before="480" w:after="0"/>
        <w:jc w:val="center"/>
        <w:rPr>
          <w:rFonts w:ascii="Times New Roman" w:hAnsi="Times New Roman"/>
          <w:b/>
          <w:sz w:val="20"/>
        </w:rPr>
      </w:pPr>
      <w:bookmarkStart w:id="4" w:name="supprom162972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within the meaning of the Private Securities Litigation Reform Act of 1995 are included in this prospectus supplement and the accompanying prospectus and the information incorporated by reference herein and therein. Forward-looking statements can be identified by the fact that they do not relate strictly to historical or current facts. The use of words such as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growth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strengths;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strategy and the trends we anticipate in the industries and economies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 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governmental programs and spending policies, changes to the amounts provided for under the Infrastructure Investment and Jobs Act and/or Inflation Reduction Act, including the potential for reduced support for renewable energy projects, such as a result of the One Big Beautiful Bill Act, or changes in U.S or foreign tax laws, statutes, rules, regulations or ordinances;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 and trade actions, including retaliatory trade actions, by the United States (U.S.) and/or other countries on U.S. exports or bans by foreign countries on certain of their exports;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 delays due to permitting processes, compliance with environmental and other regulatory requirements and challenges to the granting of project permits, which could cause increased costs and delayed or reduced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on demand for our services of changes in the amount of capital expenditures by our customers due to, among other things, economic conditions, including potential economic downturns, inflationary issues, tariff effects, the availability and cost of financing, supply chain disruptions, climate-related matters, customer consolidation in the industries we serve and/or the effects of public health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our plans for future operations, growth and services, including business development efforts, backlog, acquisitions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personnel, key management and skilled employees, including from acquired businesses, our ability to enforce any noncompetition agreements, and our ability to maintain a workforce based upon current and anticipated workloads;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changes in estimates for legal costs or case settlements or adverse determinations on any claim, lawsuit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insurance, legal and other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climate and weather events, such as the risk of wildfires, that increase operational and legal risks in certain locations where we perform services, could increase the potential liability and related costs associated with such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regulatory initiatives, including risks related to and the costs of compliance with existing and potential future sustainability requirements, including with respect to climate-related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extent of fluctuations in operational, geographic and weather factors, including from climate-related events, that affect our customers, projects and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of and restrictions imposed by our credit facility, term loans, senior notes and any future loans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and information technology interruptions and/or data security breaches that could adversely affect our ability to operate, our operating results, our data security or our reputation, or other cybersecurity-related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a limited number of customers and our ability to replace non-recurring projects with new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potential environmental issues and other hazards from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or failures of, our subcontractors to deliver agreed-upon supplies or services in a timely fashion, and the risk of being required to pay our subcontractors even if our customers do not pay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strategic arrangements, including our equity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volatility of our stock price or any dilution or stock price volatility that shareholders may experience, including as a result of shares we may issue as purchase consideration in connection with acquisitions, or as a result of other stock issuances;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performance and surety bonds;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operations that employ a unionized workforce, including labor availability, productivity and relations, as well as risks associated with multiemployer union pension plans, including underfunding and withdrawal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 small number of our existing shareholders having the ability to influence major corporate decisions; as well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detailed in our filings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prospectus supplement, the accompanying prospectus and in the documents that we incorporate by reference herein and therein. We do not undertake any obligation to publicly update or revise these forward-looking statements after the date of this prospectus supplement to reflect future events or circumstances, except as required by applicable law. We qualify any and all of our forward-looking statements by these cautionary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162972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is not complete and may not contain all of the information that may be important to you. You should read this entire prospectus supplement and the accompanying prospectus carefully, as well as the documents incorporated by reference, before making an investment decision.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Our customers are primarily in these industries. Including our predecessor companies, we have been in business for over 95 years. As of June 30, 2026, we had approximately 37,000 employees and 780 locations. We offer our services under the MasTec® and other service marks and we have been consistently ranked among the top specialty contractors within Engineering News-Record’s Top 400 Contractors.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maintain our principal executive and management office at 800 S. Douglas Road, 12th Floor, Coral Gables, Florida, 33134. Our telephone number is (305) 599-1800.</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Superior Group Transaction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July 20, 2026 (the “Closing Date”), we completed the acquisition of Electrical Specialists, Inc., d/b/a the Superior Group (the “Superior Group”), pursuant to a Share Purchase Agreement (the “Acquisition Agreement”) among the Company, the Superior Group, Stewshi Co., Inc., as the seller, and the shareholders and shareholder representative named therein. Upon consummation of the acquisition, the Superior Group became a wholly-owned subsidiary of the Company. The Superior Group is a full-service electrical contractor focused on critical infrastructure. The Superior Group is a recognized leader in building data center infrastructure and also serves a diverse set of end markets including healthcare, entertainment and industrial. We refer to this transaction as the Superior Group transaction. For additional information regarding the Superior Group transaction and the registration for resale of the shares offered by this prospectus supplement, see “Selling Shareholders” on page S-4.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w:t>
            </w:r>
          </w:p>
        </w:tc>
        <w:tc>
          <w:tcPr>
            <w:tcW w:w="6328" w:type="dxa"/>
            <w:tcBorders/>
          </w:tcPr>
          <w:p>
            <w:pPr>
              <w:pStyle w:val="TableContents"/>
              <w:bidi w:val="0"/>
              <w:spacing w:before="0" w:after="283"/>
              <w:jc w:val="left"/>
              <w:rPr/>
            </w:pPr>
            <w:r>
              <w:rPr/>
              <w:t xml:space="preserve">1,219,498 shares. See “Selling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outstanding </w:t>
            </w:r>
          </w:p>
        </w:tc>
        <w:tc>
          <w:tcPr>
            <w:tcW w:w="6329" w:type="dxa"/>
            <w:tcBorders/>
          </w:tcPr>
          <w:p>
            <w:pPr>
              <w:pStyle w:val="TableContents"/>
              <w:bidi w:val="0"/>
              <w:spacing w:before="0" w:after="283"/>
              <w:jc w:val="left"/>
              <w:rPr/>
            </w:pPr>
            <w:r>
              <w:rPr/>
              <w:t xml:space="preserve">80,304,948 as of July 27, 2026, including 1,219,498 shares issued to the selling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Use of proceeds</w:t>
            </w:r>
          </w:p>
        </w:tc>
        <w:tc>
          <w:tcPr>
            <w:tcW w:w="6327" w:type="dxa"/>
            <w:tcBorders/>
          </w:tcPr>
          <w:p>
            <w:pPr>
              <w:pStyle w:val="TableContents"/>
              <w:bidi w:val="0"/>
              <w:spacing w:before="0" w:after="283"/>
              <w:jc w:val="left"/>
              <w:rPr/>
            </w:pPr>
            <w:r>
              <w:rPr/>
              <w:t xml:space="preserve">The selling shareholders will receive the proceeds from the sale of shares offered by this prospectus supplement and the accompanying prospectus. We will receive none of the proceeds but will pay the expenses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“Risk Factors” on page S-3 and other information included or incorporated by reference in this prospectus supplement and the accompanying prospectus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Lock-up </w:t>
            </w:r>
          </w:p>
        </w:tc>
        <w:tc>
          <w:tcPr>
            <w:tcW w:w="6328" w:type="dxa"/>
            <w:tcBorders/>
          </w:tcPr>
          <w:p>
            <w:pPr>
              <w:pStyle w:val="TableContents"/>
              <w:bidi w:val="0"/>
              <w:spacing w:before="0" w:after="283"/>
              <w:jc w:val="left"/>
              <w:rPr/>
            </w:pPr>
            <w:r>
              <w:rPr/>
              <w:t xml:space="preserve">The selling shareholders are subject to lock-up provisions that impose certain limitations on sales of the offered shares during the 24 months following the Closing Date. See “Plan of Distribution – Lock-up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NYSE symbol </w:t>
            </w:r>
          </w:p>
        </w:tc>
        <w:tc>
          <w:tcPr>
            <w:tcW w:w="6327" w:type="dxa"/>
            <w:tcBorders/>
          </w:tcPr>
          <w:p>
            <w:pPr>
              <w:pStyle w:val="TableContents"/>
              <w:bidi w:val="0"/>
              <w:spacing w:before="0" w:after="283"/>
              <w:jc w:val="left"/>
              <w:rPr/>
            </w:pPr>
            <w:r>
              <w:rPr/>
              <w:t xml:space="preserve">MTZ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description of our common stock contained in the accompanying prospectus for additional information regarding the common stock to be sold pursuant to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62972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significant risks. You should consult with your own financial and legal advisers and carefully consider, among other matters, the risks described in our most recent Annual Report on Form 10-K and the other documents incorporated herein by reference. You should carefully consider the risks described in those reports and the other information in this prospectus supplement and accompanying prospectus before you decide to buy our shares. The value of our shares could decline due to any of these risks, and you could lose all or part of your investment. </w:t>
      </w:r>
    </w:p>
    <w:p>
      <w:pPr>
        <w:pStyle w:val="TextBody"/>
        <w:bidi w:val="0"/>
        <w:spacing w:before="480" w:after="0"/>
        <w:jc w:val="center"/>
        <w:rPr>
          <w:rFonts w:ascii="Times New Roman" w:hAnsi="Times New Roman"/>
          <w:b/>
          <w:sz w:val="20"/>
        </w:rPr>
      </w:pPr>
      <w:bookmarkStart w:id="7" w:name="supprom162972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selling shareholders’ sale of the shares of common stock described in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62972_6"/>
      <w:bookmarkEnd w:id="8"/>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Acquisition Agreement, on July 20, 2026, we consummated the Superior Group transaction. As partial consideration for the Superior Group transaction, we issued 1,219,498 shares (the “Consideration Shares”) of our common stock to the selling shareholders. The foregoing issuance of the Consideration Shares was exempt from registration under the Securities Act of 1933, as amended (the “Securities Act”), pursuant to Section 4(a)(2) thereof.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shares set forth in the table below represent the Consideration Shares. The registration of such shares is required pursuant to the terms of the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the table below in respect of the selling shareholders has been obtained from the selling shareholders and has not been independently verified by us. The information set forth in the following table regarding the beneficial ownership after resale of shares is based upon the assumption that the selling shareholders will sell all of the Consideration Shares owned by them and covered by this prospectus supplement and the accompanying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99"/>
        <w:gridCol w:w="280"/>
        <w:gridCol w:w="83"/>
        <w:gridCol w:w="1128"/>
        <w:gridCol w:w="60"/>
        <w:gridCol w:w="280"/>
        <w:gridCol w:w="364"/>
        <w:gridCol w:w="842"/>
        <w:gridCol w:w="60"/>
        <w:gridCol w:w="280"/>
        <w:gridCol w:w="61"/>
        <w:gridCol w:w="824"/>
        <w:gridCol w:w="60"/>
        <w:gridCol w:w="280"/>
        <w:gridCol w:w="223"/>
        <w:gridCol w:w="968"/>
        <w:gridCol w:w="60"/>
        <w:gridCol w:w="280"/>
        <w:gridCol w:w="364"/>
        <w:gridCol w:w="842"/>
        <w:gridCol w:w="67"/>
      </w:tblGrid>
      <w:tr>
        <w:trPr/>
        <w:tc>
          <w:tcPr>
            <w:tcW w:w="2799"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7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Selling Shareholder</w:t>
            </w:r>
          </w:p>
        </w:tc>
        <w:tc>
          <w:tcPr>
            <w:tcW w:w="280"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Beneficially</w:t>
              <w:br/>
              <w:t>Owned</w:t>
              <w:br/>
              <w:t>Prior to the</w:t>
              <w:br/>
              <w:t>Offering</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br/>
              <w:t>Offered</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Beneficially</w:t>
              <w:br/>
              <w:t>Owned</w:t>
              <w:br/>
              <w:t>After</w:t>
              <w:br/>
              <w:t>Offering(1)</w:t>
            </w:r>
          </w:p>
        </w:tc>
        <w:tc>
          <w:tcPr>
            <w:tcW w:w="67" w:type="dxa"/>
            <w:tcBorders/>
            <w:vAlign w:val="bottom"/>
          </w:tcPr>
          <w:p>
            <w:pPr>
              <w:pStyle w:val="TableContents"/>
              <w:bidi w:val="0"/>
              <w:spacing w:before="0" w:after="283"/>
              <w:jc w:val="left"/>
              <w:rPr/>
            </w:pPr>
            <w:r>
              <w:rPr/>
              <w:t> </w:t>
            </w:r>
          </w:p>
        </w:tc>
      </w:tr>
      <w:tr>
        <w:trPr/>
        <w:tc>
          <w:tcPr>
            <w:tcW w:w="2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Bryan Stewart</w:t>
            </w:r>
          </w:p>
        </w:tc>
        <w:tc>
          <w:tcPr>
            <w:tcW w:w="2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731,716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4" w:type="dxa"/>
            <w:tcBorders/>
            <w:shd w:fill="CCEEFF" w:val="clear"/>
          </w:tcPr>
          <w:p>
            <w:pPr>
              <w:pStyle w:val="TableContents"/>
              <w:bidi w:val="0"/>
              <w:spacing w:before="0" w:after="283"/>
              <w:jc w:val="left"/>
              <w:rPr/>
            </w:pPr>
            <w:r>
              <w:rPr/>
              <w:t> </w:t>
            </w:r>
          </w:p>
        </w:tc>
        <w:tc>
          <w:tcPr>
            <w:tcW w:w="842" w:type="dxa"/>
            <w:tcBorders/>
            <w:shd w:fill="CCEEFF" w:val="clear"/>
          </w:tcPr>
          <w:p>
            <w:pPr>
              <w:pStyle w:val="TableContents"/>
              <w:bidi w:val="0"/>
              <w:spacing w:before="0" w:after="283"/>
              <w:jc w:val="right"/>
              <w:rPr/>
            </w:pPr>
            <w:r>
              <w:rPr/>
              <w:t>*</w:t>
            </w:r>
          </w:p>
        </w:tc>
        <w:tc>
          <w:tcPr>
            <w:tcW w:w="60" w:type="dxa"/>
            <w:tcBorders/>
            <w:shd w:fill="CCEEFF" w:val="clear"/>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1"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731,698</w:t>
            </w:r>
          </w:p>
        </w:tc>
        <w:tc>
          <w:tcPr>
            <w:tcW w:w="60" w:type="dxa"/>
            <w:tcBorders/>
            <w:shd w:fill="CCEEFF" w:val="clear"/>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 </w:t>
            </w:r>
          </w:p>
        </w:tc>
        <w:tc>
          <w:tcPr>
            <w:tcW w:w="968" w:type="dxa"/>
            <w:tcBorders/>
            <w:shd w:fill="CCEEFF" w:val="clear"/>
          </w:tcPr>
          <w:p>
            <w:pPr>
              <w:pStyle w:val="TableContents"/>
              <w:bidi w:val="0"/>
              <w:spacing w:before="0" w:after="283"/>
              <w:jc w:val="right"/>
              <w:rPr/>
            </w:pPr>
            <w:r>
              <w:rPr/>
              <w:t>18</w:t>
            </w:r>
          </w:p>
        </w:tc>
        <w:tc>
          <w:tcPr>
            <w:tcW w:w="60" w:type="dxa"/>
            <w:tcBorders/>
            <w:shd w:fill="CCEEFF" w:val="clear"/>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4" w:type="dxa"/>
            <w:tcBorders/>
            <w:shd w:fill="CCEEFF" w:val="clear"/>
          </w:tcPr>
          <w:p>
            <w:pPr>
              <w:pStyle w:val="TableContents"/>
              <w:bidi w:val="0"/>
              <w:spacing w:before="0" w:after="283"/>
              <w:jc w:val="left"/>
              <w:rPr/>
            </w:pPr>
            <w:r>
              <w:rPr/>
              <w:t> </w:t>
            </w:r>
          </w:p>
        </w:tc>
        <w:tc>
          <w:tcPr>
            <w:tcW w:w="842" w:type="dxa"/>
            <w:tcBorders/>
            <w:shd w:fill="CCEEFF" w:val="clear"/>
          </w:tcPr>
          <w:p>
            <w:pPr>
              <w:pStyle w:val="TableContents"/>
              <w:bidi w:val="0"/>
              <w:spacing w:before="0" w:after="283"/>
              <w:jc w:val="right"/>
              <w:rPr/>
            </w:pPr>
            <w:r>
              <w:rPr/>
              <w:t>*</w:t>
            </w:r>
          </w:p>
        </w:tc>
        <w:tc>
          <w:tcPr>
            <w:tcW w:w="67" w:type="dxa"/>
            <w:tcBorders/>
            <w:shd w:fill="CCEEFF" w:val="clear"/>
          </w:tcPr>
          <w:p>
            <w:pPr>
              <w:pStyle w:val="TableContents"/>
              <w:bidi w:val="0"/>
              <w:spacing w:before="0" w:after="283"/>
              <w:jc w:val="left"/>
              <w:rPr/>
            </w:pPr>
            <w:r>
              <w:rPr/>
              <w:t> </w:t>
            </w:r>
          </w:p>
        </w:tc>
      </w:tr>
      <w:tr>
        <w:trPr/>
        <w:tc>
          <w:tcPr>
            <w:tcW w:w="2799" w:type="dxa"/>
            <w:tcBorders/>
          </w:tcPr>
          <w:p>
            <w:pPr>
              <w:pStyle w:val="TableContents"/>
              <w:bidi w:val="0"/>
              <w:spacing w:before="0" w:after="0"/>
              <w:jc w:val="left"/>
              <w:rPr>
                <w:rFonts w:ascii="Times New Roman" w:hAnsi="Times New Roman"/>
                <w:sz w:val="20"/>
              </w:rPr>
            </w:pPr>
            <w:r>
              <w:rPr>
                <w:rFonts w:ascii="Times New Roman" w:hAnsi="Times New Roman"/>
                <w:sz w:val="20"/>
              </w:rPr>
              <w:t>Jerry Kaltenbach</w:t>
            </w:r>
          </w:p>
        </w:tc>
        <w:tc>
          <w:tcPr>
            <w:tcW w:w="2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60,975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 </w:t>
            </w:r>
          </w:p>
        </w:tc>
        <w:tc>
          <w:tcPr>
            <w:tcW w:w="842" w:type="dxa"/>
            <w:tcBorders/>
          </w:tcPr>
          <w:p>
            <w:pPr>
              <w:pStyle w:val="TableContents"/>
              <w:bidi w:val="0"/>
              <w:spacing w:before="0" w:after="283"/>
              <w:jc w:val="right"/>
              <w:rPr/>
            </w:pPr>
            <w:r>
              <w:rPr/>
              <w:t>*</w:t>
            </w:r>
          </w:p>
        </w:tc>
        <w:tc>
          <w:tcPr>
            <w:tcW w:w="60" w:type="dxa"/>
            <w:tcBorders/>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1"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60,975</w:t>
            </w:r>
          </w:p>
        </w:tc>
        <w:tc>
          <w:tcPr>
            <w:tcW w:w="60" w:type="dxa"/>
            <w:tcBorders/>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 </w:t>
            </w:r>
          </w:p>
        </w:tc>
        <w:tc>
          <w:tcPr>
            <w:tcW w:w="968" w:type="dxa"/>
            <w:tcBorders/>
          </w:tcPr>
          <w:p>
            <w:pPr>
              <w:pStyle w:val="TableContents"/>
              <w:bidi w:val="0"/>
              <w:spacing w:before="0" w:after="283"/>
              <w:jc w:val="right"/>
              <w:rPr/>
            </w:pPr>
            <w:r>
              <w:rPr/>
              <w:t>0</w:t>
            </w:r>
          </w:p>
        </w:tc>
        <w:tc>
          <w:tcPr>
            <w:tcW w:w="60" w:type="dxa"/>
            <w:tcBorders/>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pPr>
            <w:r>
              <w:rPr/>
              <w:t> </w:t>
            </w:r>
          </w:p>
        </w:tc>
        <w:tc>
          <w:tcPr>
            <w:tcW w:w="842" w:type="dxa"/>
            <w:tcBorders/>
          </w:tcPr>
          <w:p>
            <w:pPr>
              <w:pStyle w:val="TableContents"/>
              <w:bidi w:val="0"/>
              <w:spacing w:before="0" w:after="283"/>
              <w:jc w:val="right"/>
              <w:rPr/>
            </w:pPr>
            <w:r>
              <w:rPr/>
              <w:t>*</w:t>
            </w:r>
          </w:p>
        </w:tc>
        <w:tc>
          <w:tcPr>
            <w:tcW w:w="67" w:type="dxa"/>
            <w:tcBorders/>
          </w:tcPr>
          <w:p>
            <w:pPr>
              <w:pStyle w:val="TableContents"/>
              <w:bidi w:val="0"/>
              <w:spacing w:before="0" w:after="283"/>
              <w:jc w:val="left"/>
              <w:rPr/>
            </w:pPr>
            <w:r>
              <w:rPr/>
              <w:t> </w:t>
            </w:r>
          </w:p>
        </w:tc>
      </w:tr>
      <w:tr>
        <w:trPr/>
        <w:tc>
          <w:tcPr>
            <w:tcW w:w="2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Jordan Leopold</w:t>
            </w:r>
          </w:p>
        </w:tc>
        <w:tc>
          <w:tcPr>
            <w:tcW w:w="2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60,975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4" w:type="dxa"/>
            <w:tcBorders/>
            <w:shd w:fill="CCEEFF" w:val="clear"/>
          </w:tcPr>
          <w:p>
            <w:pPr>
              <w:pStyle w:val="TableContents"/>
              <w:bidi w:val="0"/>
              <w:spacing w:before="0" w:after="283"/>
              <w:jc w:val="left"/>
              <w:rPr/>
            </w:pPr>
            <w:r>
              <w:rPr/>
              <w:t> </w:t>
            </w:r>
          </w:p>
        </w:tc>
        <w:tc>
          <w:tcPr>
            <w:tcW w:w="842" w:type="dxa"/>
            <w:tcBorders/>
            <w:shd w:fill="CCEEFF" w:val="clear"/>
          </w:tcPr>
          <w:p>
            <w:pPr>
              <w:pStyle w:val="TableContents"/>
              <w:bidi w:val="0"/>
              <w:spacing w:before="0" w:after="283"/>
              <w:jc w:val="right"/>
              <w:rPr/>
            </w:pPr>
            <w:r>
              <w:rPr/>
              <w:t>*</w:t>
            </w:r>
          </w:p>
        </w:tc>
        <w:tc>
          <w:tcPr>
            <w:tcW w:w="60" w:type="dxa"/>
            <w:tcBorders/>
            <w:shd w:fill="CCEEFF" w:val="clear"/>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1"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60,975</w:t>
            </w:r>
          </w:p>
        </w:tc>
        <w:tc>
          <w:tcPr>
            <w:tcW w:w="60" w:type="dxa"/>
            <w:tcBorders/>
            <w:shd w:fill="CCEEFF" w:val="clear"/>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 </w:t>
            </w:r>
          </w:p>
        </w:tc>
        <w:tc>
          <w:tcPr>
            <w:tcW w:w="968" w:type="dxa"/>
            <w:tcBorders/>
            <w:shd w:fill="CCEEFF" w:val="clear"/>
          </w:tcPr>
          <w:p>
            <w:pPr>
              <w:pStyle w:val="TableContents"/>
              <w:bidi w:val="0"/>
              <w:spacing w:before="0" w:after="283"/>
              <w:jc w:val="right"/>
              <w:rPr/>
            </w:pPr>
            <w:r>
              <w:rPr/>
              <w:t>0</w:t>
            </w:r>
          </w:p>
        </w:tc>
        <w:tc>
          <w:tcPr>
            <w:tcW w:w="60" w:type="dxa"/>
            <w:tcBorders/>
            <w:shd w:fill="CCEEFF" w:val="clear"/>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4" w:type="dxa"/>
            <w:tcBorders/>
            <w:shd w:fill="CCEEFF" w:val="clear"/>
          </w:tcPr>
          <w:p>
            <w:pPr>
              <w:pStyle w:val="TableContents"/>
              <w:bidi w:val="0"/>
              <w:spacing w:before="0" w:after="283"/>
              <w:jc w:val="left"/>
              <w:rPr/>
            </w:pPr>
            <w:r>
              <w:rPr/>
              <w:t> </w:t>
            </w:r>
          </w:p>
        </w:tc>
        <w:tc>
          <w:tcPr>
            <w:tcW w:w="842" w:type="dxa"/>
            <w:tcBorders/>
            <w:shd w:fill="CCEEFF" w:val="clear"/>
          </w:tcPr>
          <w:p>
            <w:pPr>
              <w:pStyle w:val="TableContents"/>
              <w:bidi w:val="0"/>
              <w:spacing w:before="0" w:after="283"/>
              <w:jc w:val="right"/>
              <w:rPr/>
            </w:pPr>
            <w:r>
              <w:rPr/>
              <w:t>*</w:t>
            </w:r>
          </w:p>
        </w:tc>
        <w:tc>
          <w:tcPr>
            <w:tcW w:w="67" w:type="dxa"/>
            <w:tcBorders/>
            <w:shd w:fill="CCEEFF" w:val="clear"/>
          </w:tcPr>
          <w:p>
            <w:pPr>
              <w:pStyle w:val="TableContents"/>
              <w:bidi w:val="0"/>
              <w:spacing w:before="0" w:after="283"/>
              <w:jc w:val="left"/>
              <w:rPr/>
            </w:pPr>
            <w:r>
              <w:rPr/>
              <w:t> </w:t>
            </w:r>
          </w:p>
        </w:tc>
      </w:tr>
      <w:tr>
        <w:trPr/>
        <w:tc>
          <w:tcPr>
            <w:tcW w:w="2799" w:type="dxa"/>
            <w:tcBorders/>
          </w:tcPr>
          <w:p>
            <w:pPr>
              <w:pStyle w:val="TableContents"/>
              <w:bidi w:val="0"/>
              <w:spacing w:before="0" w:after="0"/>
              <w:jc w:val="left"/>
              <w:rPr>
                <w:rFonts w:ascii="Times New Roman" w:hAnsi="Times New Roman"/>
                <w:sz w:val="20"/>
              </w:rPr>
            </w:pPr>
            <w:r>
              <w:rPr>
                <w:rFonts w:ascii="Times New Roman" w:hAnsi="Times New Roman"/>
                <w:sz w:val="20"/>
              </w:rPr>
              <w:t>Willow Street Trust Company of Wyoming, LLC, as trustee of the Anna Stewart Nongrantor Dynasty Trust, established under the Jennifer K. Stewart Nongrantor 2020 Descendants Trust Agreement, dated June 25, 2026</w:t>
            </w:r>
          </w:p>
        </w:tc>
        <w:tc>
          <w:tcPr>
            <w:tcW w:w="28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182,925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182,925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2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Willow Street Trust Company of Wyoming, LLC, as trustee of the Henry Stewart Nongrantor Dynasty Trust, established under the Jennifer K. Stewart Nongrantor 2020 Descendants Trust agreement, dated June 25, 2026</w:t>
            </w:r>
          </w:p>
        </w:tc>
        <w:tc>
          <w:tcPr>
            <w:tcW w:w="28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182,925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182,925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ownership calculation is based on 80,304,948 shares of common stock outstanding as of July 27,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62972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obligations under the Acquisition Agreement, we are registering the shares of common stock covered by this prospectus supplement and the accompanying prospectus for the benefit of the selling shareholders. We will bear all fees and expenses incident to our obligation to register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will act independently of MasTec in making decisions with respect to the timing, manner and size of each and any sale. The selling shareholders may, subject to the lock-up provisions (the “Lock-up Provisions”) in the Acquisition Agreement described below, sell the shares from time to time in one or more transactions on the New York Stock Exchange or otherwise, at market prices prevailing at the time of sale, at a fixed offering price that may be changed, at varying prices determined at the time of sale or at negotiated prices. The selling shareholders may, subject to market conditions and the Lock-up Provisions, dispose of their entire holdings of our common stock. We will not receive any proceeds from the sale of shares included in this prospectus supplement. Subject to the Lock-up Provisions, the shares may be sold at various times by one or more means,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or dealers (who may act as agent or principal and who may receive compensation in the form of discounts, concessions or commissions from the selling shareholders, the purchaser or such other persons who may be effecting such sales) for resale to the public or to institutional investors at various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negotiated transactions, including, but not limited to, block trades in which the broker or 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 or dealer as principal and resale by that broker or 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shares may be listed or quoted at the time of sale at market prices prevailing at the time of sale, at prices related to such prevailing market prices, or at negotiated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 transactions other than exchange or quotation service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purchases or sales of put, call or other types of options, forward delivery contracts, swaps, offerings of structured equity-linked securities or other derivative transactions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hedging transactions,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with a broker-dealer or its affiliate, whereby the broker-dealer or its affiliate will engage in short sales of shares and may use shares to close out its short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or other types of transactions that require the delivery of shares to a broker-dealer or an affiliate thereof, who will then resell or transfer the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loans or pledges of shares to a broker-dealer or an affiliate, who may sell the loaned shares or, in an event of default in the case of a pledge, sell the pledged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offerings of securities exercisable, convertible or exchangeable for shares, including, without limitation, securities issued by trusts, investment companies or other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offerings directly to one or more purchasers, including institutional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ordinary brokerage transactions and transactions in which a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distribution to the securityholders of the selling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pledge to secure debts and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under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the selling shareholders may, subject to the Lock-up Provisions, resell all or a portion of their shares in open market transactions in reliance upon Rule 144 under the Securities Act provided the selling shareholder meets the criteria and conforms to the requirements of Rule 144.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negotiate and pay broker-dealers’ commissions, discounts or concessions for their services. Broker-dealers engaged by the selling shareholders may allow other broker-dealers to participate in resales.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have acknowledged their obligations to comply with the provisions of the Securities Exchange Act of 1934, as amended, and the rules thereunder relating to stock manipulation, particularly Regulation M. </w:t>
      </w:r>
    </w:p>
    <w:p>
      <w:pPr>
        <w:pStyle w:val="TextBody"/>
        <w:bidi w:val="0"/>
        <w:spacing w:before="240" w:after="0"/>
        <w:jc w:val="left"/>
        <w:rPr>
          <w:rFonts w:ascii="Times New Roman" w:hAnsi="Times New Roman"/>
          <w:sz w:val="20"/>
        </w:rPr>
      </w:pPr>
      <w:r>
        <w:rPr>
          <w:rFonts w:ascii="Times New Roman" w:hAnsi="Times New Roman"/>
          <w:sz w:val="20"/>
        </w:rPr>
        <w:t xml:space="preserve">We are not aware of any plans, arrangements or understandings between the selling shareholders and any underwriter, broker-dealer or agent regarding the sale of shares of common stock by the selling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selling shareholders are subject to the Lock-up Provisions, pursuant to which each selling shareholder has agreed that (A) such shareholder will not, subject to limited exceptions, directly or indirectly, (i) during the period from the Closing Date to the six (6) month anniversary thereof (the “Initial Six Months”), transfer more than twenty percent (20%) of the shares (the “Lock-up Shares”) issued to such shareholder; (ii) during the period from the six (6) month anniversary to the twelve (12) month anniversary of the Closing Date, transfer more than forty percent (40%) of the Lock-up Shares issued to such shareholder in the aggregate with the Lock-up Shares sold or which could have been sold during the Initial Six Months; (iii) during the period from the twelve (12) month anniversary to the eighteen (18) month anniversary of the Closing Date, transfer more than sixty percent (60%) of the Lock-up Shares issued to such shareholder in the aggregate with the Lock-up Shares sold or which could have been sold during the periods described in (i) and (ii) and (iv) during the period from the eighteen (18) month anniversary to the twenty-four (24) month anniversary of the Closing Date, transfer more than eighty percent (80%) of the Lock-up Shares issued to such shareholder in the aggregate with the Lock-up Shares sold or which could have been sold during the periods described in (i), (ii) and (iii) and (B) from and after the twenty-four (24) month anniversary of the Closing Date, one hundred percent (100%) of the aggregate Lock-up Shares issued to such shareholder may be transferred without the foregoing restrictions. </w:t>
      </w:r>
    </w:p>
    <w:p>
      <w:pPr>
        <w:pStyle w:val="TextBody"/>
        <w:bidi w:val="0"/>
        <w:spacing w:before="240" w:after="0"/>
        <w:jc w:val="left"/>
        <w:rPr>
          <w:rFonts w:ascii="Times New Roman" w:hAnsi="Times New Roman"/>
          <w:sz w:val="20"/>
        </w:rPr>
      </w:pPr>
      <w:r>
        <w:rPr>
          <w:rFonts w:ascii="Times New Roman" w:hAnsi="Times New Roman"/>
          <w:sz w:val="20"/>
        </w:rPr>
        <w:t>Notwithstanding the restrictions set forth in above or anything else in the Acquisition Agreement to the contrary, a selling shareholder may transfer Lock-up Shares without regard to such restrictions (i) by will, other testamentary document or intestacy; (ii) to any trust for the direct or indirect benefit of such shareholder or such shareholder’s immediate family members; (iii) pursuant to a qualified domestic order, divorce settlement, divorce decree or separation agreement or other court or regulatory agency order; (iv) pursuant to a bona fide third-party tender offer, merger, consolidation or other similar transaction; (v) to the extent necessary to satisfy such shareholder’s tax liabilities attributable to the portion of the consideration received by such shareholder in the form of our common stock in connection with the Acquisition (including any taxes arising from the receipt of Consideration Shares), which transfers may be made at any time without regard to the limitations set forth in the Lock-up Provisions or (vi) in connection with any hedging, margin loan, pledge or similar financing arrangement entered into by such shareholder with respect to Lock-up Shares; provided, that, the underlying Lock-up Shares subject to any such arrangement described in clause (vi) will remain subject to the restrictions contained in the Lock-up Provisions until such Lock-up Shares become eligible for transfer thereunder (each of the foregoing, a “</w:t>
      </w:r>
      <w:r>
        <w:rPr>
          <w:rFonts w:ascii="Times New Roman" w:hAnsi="Times New Roman"/>
          <w:sz w:val="20"/>
          <w:u w:val="single"/>
        </w:rPr>
        <w:t>Permitted Transfer</w:t>
      </w:r>
      <w:r>
        <w:rPr>
          <w:rFonts w:ascii="Times New Roman" w:hAnsi="Times New Roman"/>
          <w:sz w:val="20"/>
        </w:rPr>
        <w:t>” and each transferee in a Permitted Transfer, a “</w:t>
      </w:r>
      <w:r>
        <w:rPr>
          <w:rFonts w:ascii="Times New Roman" w:hAnsi="Times New Roman"/>
          <w:sz w:val="20"/>
          <w:u w:val="single"/>
        </w:rPr>
        <w:t>Permitted Transferee</w:t>
      </w:r>
      <w:r>
        <w:rPr>
          <w:rFonts w:ascii="Times New Roman" w:hAnsi="Times New Roman"/>
          <w:sz w:val="20"/>
        </w:rPr>
        <w:t>”); provided</w:t>
      </w:r>
      <w:r>
        <w:rPr>
          <w:rFonts w:ascii="Times New Roman" w:hAnsi="Times New Roman"/>
          <w:i/>
          <w:sz w:val="20"/>
        </w:rPr>
        <w:t>,</w:t>
      </w:r>
      <w:r>
        <w:rPr>
          <w:rFonts w:ascii="Times New Roman" w:hAnsi="Times New Roman"/>
          <w:sz w:val="20"/>
        </w:rPr>
        <w:t xml:space="preserve"> further, that, in the case of clauses (i), (ii) and (iii), the applicable Permitted Transferee must, as a condition to such Permitted Transfer, execute and deliver to MasTec a written agreement, in form and substance reasonably satisfactory to MasTec, to be bound by the Lock-up Provisions with respect to any Lock-up Shares so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62972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supplement will be passed upon for us by Holland &amp; Knight LLP, Miami Florida.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831975" cy="339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1975" cy="339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Debt Securities, 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and Stock Purchase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MasTec, Inc., a corporation incorporated under the laws of the State of Florida. This prospectus relates to the public offer and sale of common stock, preferred stock, depositary shares, debt securities, warrants, stock purchase contracts and stock purchase units that we may offer from time to time in one or more series. We and/or selling security holders may offer and sell the securities separately, together or as units, in separate classes or series, in amounts, at prices and on terms to be determined at the time of sale and set forth in a supplement to this prospectus. You should read this prospectus, the applicable prospectus supplement and other offering materials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and/or selling security holders may offer the securities from time to time through public or private transactions, and in the case of our common stock, on or off the New York Stock Exchange, at prevailing market prices or at privately negotiated prices. Sales may be made directly to purchasers or to or through agents, broker-dealers or underwriters. If any agents or underwriters are involved in the sale of any of these securities, the applicable prospectus supplement will set forth the names of the agents or underwriters and any applicable fees, commissions or discounts. Our net proceeds from the sale of securities will also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“MTZ.”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Before buying any offered securities, you should carefully consider the </w:t>
      </w:r>
      <w:hyperlink w:anchor="tx162972_3">
        <w:r>
          <w:rPr>
            <w:rStyle w:val="InternetLink"/>
            <w:rFonts w:ascii="Times New Roman" w:hAnsi="Times New Roman"/>
            <w:b/>
            <w:sz w:val="24"/>
          </w:rPr>
          <w:t>Risk Factors</w:t>
        </w:r>
      </w:hyperlink>
      <w:r>
        <w:rPr>
          <w:rFonts w:ascii="Times New Roman" w:hAnsi="Times New Roman"/>
          <w:b/>
          <w:sz w:val="24"/>
        </w:rPr>
        <w:t xml:space="preserve"> contained in this prospectus, beginning on page 3.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February 28,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
      <w:bookmarkEnd w:id="11"/>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
              <w:r>
                <w:rPr>
                  <w:rStyle w:val="InternetLink"/>
                  <w:rFonts w:ascii="Times New Roman" w:hAnsi="Times New Roman"/>
                  <w:sz w:val="20"/>
                </w:rPr>
                <w:t>IMPORTANT INFORMATION 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2">
              <w:r>
                <w:rPr>
                  <w:rStyle w:val="InternetLink"/>
                  <w:rFonts w:ascii="Times New Roman" w:hAnsi="Times New Roman"/>
                  <w:sz w:val="20"/>
                </w:rPr>
                <w:t>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4">
              <w:r>
                <w:rPr>
                  <w:rStyle w:val="InternetLink"/>
                  <w:rFonts w:ascii="Times New Roman" w:hAnsi="Times New Roman"/>
                  <w:sz w:val="20"/>
                </w:rPr>
                <w:t>OUR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6">
              <w:r>
                <w:rPr>
                  <w:rStyle w:val="InternetLink"/>
                  <w:rFonts w:ascii="Times New Roman" w:hAnsi="Times New Roman"/>
                  <w:sz w:val="20"/>
                </w:rPr>
                <w:t>DESCRIPTION OF COMMON AND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7">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0">
              <w:r>
                <w:rPr>
                  <w:rStyle w:val="InternetLink"/>
                  <w:rFonts w:ascii="Times New Roman" w:hAnsi="Times New Roman"/>
                  <w:sz w:val="20"/>
                </w:rPr>
                <w:t>DESCRIPTION OF STOCK PURCHASE CONTRACTS AND STOCK PURCHASE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1">
              <w:r>
                <w:rPr>
                  <w:rStyle w:val="InternetLink"/>
                  <w:rFonts w:ascii="Times New Roman" w:hAnsi="Times New Roman"/>
                  <w:sz w:val="20"/>
                </w:rPr>
                <w:t>SELLING SECURITY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62972_16">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62972_1"/>
      <w:bookmarkEnd w:id="12"/>
      <w:r>
        <w:rPr>
          <w:rFonts w:ascii="Times New Roman" w:hAnsi="Times New Roman"/>
          <w:b/>
          <w:sz w:val="20"/>
        </w:rPr>
        <w:t xml:space="preserve">IMPORTANT INFORMATION 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filed with the United States Securities and Exchange Commission, or the SEC. By using a shelf registration statement, we may sell any combination of the securities described in this prospectus from time to time in one or more offerings. The exhibits to our registration statement contain the full text of certain contracts and other important documents we have summarized in this prospectus. Because these summaries may not contain all the information that you may find important in deciding whether to purchase the securities we offer, you should review the full text of these documents. The registration statement and exhibits can be obtained from the SEC as indicated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we or the selling security holders may offer. Each time we sell securities, we will provide a supplement to this prospectus that contains specific information about the terms of the securities offered. The supplement may also add, update or change information contained in this prospectus. Before purchasing any securities, you should carefully read this prospectus, any supplement and any free writing prospectus related to the applicable securities that is prepared by us or on our behalf or that is otherwise authorized by us, together with the additional information described under the heading “Incorporation of Certain Documents by Reference” found on page 37.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the supplement to this prospectus and any free writing prospectus related to the applicable securities that is prepared by us or on our behalf or that is otherwise authorized by us. Neither we nor the selling security holders have authorized any other person to provide you with additional or different information. If anyone provides you with additional, different or inconsistent information, you should not rely on it. Neither we nor the selling security holders will make an offer to sell these securities in any jurisdiction where the offer or sale is not permitted. You should assume that the information appearing in this prospectus, as well as information we have previously filed with the SEC and incorporate herein by reference, is accurate only as of the date on the front cover of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 holders will use this prospectus to offer and sell securities unless it is accompanied by a supplement that more fully describes the securities being offered and the terms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62972_2"/>
      <w:bookmarkEnd w:id="13"/>
      <w:r>
        <w:rPr>
          <w:rFonts w:ascii="Times New Roman" w:hAnsi="Times New Roman"/>
          <w:b/>
          <w:sz w:val="20"/>
        </w:rPr>
        <w:t xml:space="preserve">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this statement pursuant to the safe harbor provisions for forward-looking statements described in the Private Securities Litigation Reform Act of 1995. We make statements in this prospectus and in the documents that we incorporate by reference into this prospectus that are forward-looking. Forward-looking statements are predictions, projections and other statements about future events that are based on current expectations and assumptions and, as a result, are subject to risks and uncertainties. Forward-looking statements can be identified by the fact that they do not relate strictly to historical or current facts. The use of words such as “anticipate,” “estimate,” “could,” “should,” “may,” “might,” “plan,” “seek,” “expect,” “believe,” “intend,” “target,” “will,” “would,” “project,” “forecast,” “continue” and variations of these words and negatives thereof and similar expressions are intended to identify forward-looking statements. 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included or incorporated by reference in this prospectus. Additionally, many of these risks and uncertainties could be amplified by the effects of general economic and market conditions, including levels of inflation and market interest rates, geopolitical events, market uncertainty and/or volatility. They also include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growth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strengths;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strategy and the trends we anticipate in the industries and economies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prospectus, in the documents that we incorporate by reference into this prospectus and in other documents that we file with the SEC. We do not undertake any obligation to publicly update or revise these forward-looking statements after the date of this prospectus to reflect future events or circumstances, except as required by applicable law. We qualify any and all of our forward-looking statements by these cautionary factors.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risks and uncertainties that affect our business in the “Risk Factors” section of this prospectus and in our Annual Reports on Form 10-K, Quarterly Reports on Form 10-Q and other documents filed by us from time to time with the SEC. These filings identify and address other important risks and uncertainties that could cause actual events and results to differ materially from those contained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issues and associated risks and uncertainties discussed in “Risk Factors” herein and in the reports that we incorporate herein by reference are not the only ones we may face. Additional issues may arise or become material as our business evolves. The risks and uncertainties associated with those additional issues could impair our business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62972_3"/>
      <w:bookmarkEnd w:id="1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purchase any of our securities, you should carefully consider the discussion of risks and uncertainties under the heading “Risk Factors” contained in our Annual Report on Form 10-K for the fiscal year ended December 31, 2024, which is incorporated by reference in this prospectus, and under similar headings in our subsequently filed quarterly reports on Form 10-Q and annual reports on Form 10-K, as well as the other risks and uncertainties described in any applicable prospectus supplement or free writing prospectus and in the other documents incorporated by reference in this prospectus. See the section entitled “Where You Can Find More Information” in this prospectus. The risks and uncertainties we discuss in the documents incorporated by reference in this prospectus are those we currently believe may materially affect our company. Additional risks and uncertainties not presently known to us or that we currently believe are immaterial also may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62972_4"/>
      <w:bookmarkEnd w:id="15"/>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and does not contain all the information that is important to you. You should carefully read this prospectus, any applicable prospectus supplement and the documents to which we have referred in “Incorporation of Certain Documents by Reference” on page 37 of this prospectus for information about us and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95 years. For the twelve month period ended December 31, 2024, we had an average of approximately 33,000 employees and 780 locations, and as of December 31, 2024, we had approximately 32,000 employees and 770 locations. We offer our services under the MasTec® and other service marks. </w:t>
      </w:r>
    </w:p>
    <w:p>
      <w:pPr>
        <w:pStyle w:val="TextBody"/>
        <w:bidi w:val="0"/>
        <w:spacing w:before="240" w:after="0"/>
        <w:jc w:val="left"/>
        <w:rPr>
          <w:rFonts w:ascii="Times New Roman" w:hAnsi="Times New Roman"/>
          <w:sz w:val="20"/>
        </w:rPr>
      </w:pPr>
      <w:r>
        <w:rPr>
          <w:rFonts w:ascii="Times New Roman" w:hAnsi="Times New Roman"/>
          <w:sz w:val="20"/>
        </w:rPr>
        <w:t xml:space="preserve">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w:t>
      </w:r>
    </w:p>
    <w:p>
      <w:pPr>
        <w:pStyle w:val="TextBody"/>
        <w:bidi w:val="0"/>
        <w:spacing w:before="240" w:after="0"/>
        <w:jc w:val="left"/>
        <w:rPr>
          <w:rFonts w:ascii="Times New Roman" w:hAnsi="Times New Roman"/>
          <w:sz w:val="20"/>
        </w:rPr>
      </w:pPr>
      <w:r>
        <w:rPr>
          <w:rFonts w:ascii="Times New Roman" w:hAnsi="Times New Roman"/>
          <w:sz w:val="20"/>
        </w:rPr>
        <w:t xml:space="preserve">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See the segment information set forth in the applicable notes to our consolidated financial statements that are filed with our periodic reports incorporated by reference, as described in “Incorporation of Certain Documents by Reference” on page 37 of this prospectus, for additional information regarding our segment reporting and significant customer concentrations. During the fourth quarter of 2024, we renamed our Oil and Gas segment as the Pipeline Infrastructure segment to better represent the nature of the segment’s operations, end markets and customer characteristics. There was no change to the composition of the segment or its historical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lifecycle, and other services for the energy and utilities industries. The Other segment includes certain equity investees, the services of which may vary from those provided by our primary segments, as well as other small business units with activities in certain international end-markets. </w:t>
      </w:r>
    </w:p>
    <w:p>
      <w:pPr>
        <w:pStyle w:val="TextBody"/>
        <w:bidi w:val="0"/>
        <w:spacing w:before="240" w:after="0"/>
        <w:jc w:val="left"/>
        <w:rPr>
          <w:rFonts w:ascii="Times New Roman" w:hAnsi="Times New Roman"/>
          <w:sz w:val="20"/>
        </w:rPr>
      </w:pPr>
      <w:r>
        <w:rPr>
          <w:rFonts w:ascii="Times New Roman" w:hAnsi="Times New Roman"/>
          <w:sz w:val="20"/>
        </w:rPr>
        <w:t>We are incorporated under the laws of the State of Florida. Our principal executive offices are located at 800 S. Douglas Road, 12th Floor, Coral Gables, Florida 33134. Our telephone number is (305) 599-1800.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62972_5"/>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b/>
          <w:sz w:val="20"/>
        </w:rPr>
      </w:pPr>
      <w:r>
        <w:rPr>
          <w:rFonts w:ascii="Times New Roman" w:hAnsi="Times New Roman"/>
          <w:b/>
          <w:sz w:val="20"/>
        </w:rPr>
        <w:t xml:space="preserve">Primary Offerings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we expect to use the net proceeds of the sale of these securities for general corporate purposes, which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of assets and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indebtedness outstanding at that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such offering and will be described in the related supplement 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Offerings </w:t>
      </w:r>
    </w:p>
    <w:p>
      <w:pPr>
        <w:pStyle w:val="TextBody"/>
        <w:bidi w:val="0"/>
        <w:spacing w:before="120" w:after="0"/>
        <w:jc w:val="left"/>
        <w:rPr>
          <w:rFonts w:ascii="Times New Roman" w:hAnsi="Times New Roman"/>
          <w:sz w:val="20"/>
        </w:rPr>
      </w:pPr>
      <w:r>
        <w:rPr>
          <w:rFonts w:ascii="Times New Roman" w:hAnsi="Times New Roman"/>
          <w:sz w:val="20"/>
        </w:rPr>
        <w:t xml:space="preserve">The details of any secondary offerings will be set forth in an applicable prospectus supplement, and we will not receive any proceeds from any selling security holder’s sale of our securities registered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62972_6"/>
      <w:bookmarkEnd w:id="17"/>
      <w:r>
        <w:rPr>
          <w:rFonts w:ascii="Times New Roman" w:hAnsi="Times New Roman"/>
          <w:b/>
          <w:sz w:val="20"/>
        </w:rPr>
        <w:t xml:space="preserve">DESCRIPTION OF COMMON AND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certain material terms and provisions of our capital stock. It does not purport to be complete, however, and is qualified in its entirety by reference to Florida law and by the actual terms and provisions contained in our Amended and Restated Articles of Incorporation and our Amended and Restated Bylaws, each as amended to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issue up to 145,000,000 shares of common stock, par value $0.10 per share, and 5,000,000 shares of preferred stock, par value $1.00 per share. As of February 24, 2025, we had 79,291,828 shares of common stock and no shares of preferred stock issued and outstanding. All issued and outstanding shares of our common stock are duly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set forth certain general terms and provisions of our common and preferred stock to which a supplement to this prospectus may relate. The particular terms of the shares of common or preferred stock being offered and the extent to which the general provisions may apply will be described in the applicable supplement to this prospectus. If so indicated in the applicable supplement to this prospectus, the terms of any series of shares of preferred stock may differ from the terms set forth below, except with respect to those terms required by our Amended and Restated Articles of Incorporation and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Description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common stock entitles its owner to one vote on all matters submitted to a vote of our shareholders. The holders of our common stock are entitled to receive dividends, when, as and if declared by our Board of Directors, in its discretion, from funds legally available for the payment of dividends. If we liquidate or dissolve, the owners of our common stock will be entitled to share proportionately in our assets, if any, legally available for distribution to shareholders, but only after we have paid all of our debts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has no preemptive rights, no sinking fund provisions and no subscription, redemption or conversion privileges, and it is not subject to any further calls or assessments by us. Our common stock does not have cumulative voting rights, which means that the holders of a plurality of the outstanding shares of our common stock voting for the election of directors can elect all members of our Board of Directors eligible for election in any year. See “—Material Provisions of our Articles of Incorporation and Bylaws.” Additionally, the vote or concurrence of our shareholders holding a majority in interest of our common stock is sufficient for certain other actions that require the vote or concurrence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Jorge Mas, our Chairman, and José Mas, our Chief Executive Officer, together with certain family partnerships and trusts, beneficially own approximately 23% of our issued and outstanding shares of common stock. Consequently, they have the power to control our management and affairs and are in a position to substantially influence: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 of most matters submitted to our shareholders, including any merger, consolidation or sale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nomination of individuals to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Mas family’s ability to exercise significant control over our management and affairs may discourage, delay or prevent a takeover attempt that you might consider in your best interest and that might result in you receiving a premium for your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Description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Incorporation authorize our Board of Directors, without further shareholder approval,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preferred stock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number of shares to be included in each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designations, powers, preferences and rights of the shares of each series and any qualifications, limitations or restrictions on those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establish a class or series of preferred stock with preferences, powers and rights (including voting rights) senior to the rights of the holders of shares of our common stock. If we issue any of our preferred stock, the terms thereof may have the effect of delaying, deferring or preventing a change in control.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Provisions of Our Articles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Incorporation and our Amended and Restated Bylaws contain material provisions that may make the acquisition of control of us more difficult. </w:t>
      </w:r>
    </w:p>
    <w:p>
      <w:pPr>
        <w:pStyle w:val="TextBody"/>
        <w:bidi w:val="0"/>
        <w:spacing w:before="240" w:after="0"/>
        <w:jc w:val="left"/>
        <w:rPr>
          <w:rFonts w:ascii="Times New Roman" w:hAnsi="Times New Roman"/>
          <w:sz w:val="20"/>
        </w:rPr>
      </w:pPr>
      <w:r>
        <w:rPr>
          <w:rFonts w:ascii="Times New Roman" w:hAnsi="Times New Roman"/>
          <w:i/>
          <w:sz w:val="20"/>
        </w:rPr>
        <w:t>Business Combinations</w:t>
      </w:r>
      <w:r>
        <w:rPr>
          <w:rFonts w:ascii="Times New Roman" w:hAnsi="Times New Roman"/>
          <w:sz w:val="20"/>
        </w:rPr>
        <w:t xml:space="preserve">. Our Amended and Restated Articles of Incorporation contain material provisions which may make it more difficult for a person or entity that is the holder of more than 10% of our outstanding voting stock to force us to approve a “business combination.” For purposes of this discussion, a “business combination” includes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or consolidation of us with or into another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 or lease of all or any substantial part of our property and assets;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our securities in exchange for sale or lease to us of property and assets having an aggregate fair market value of $1 million or more.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Articles of Incorporation require at least 80% of the voting power of all of our outstanding shares entitled to vote in the election of directors, voting together as a single class, to vote in favor of a business combination with any person or entity that is directly or indirectly the holder of more than 10% of our outstanding voting stock in order for that transaction to be approved. This voting requirement may have the effect of delaying, deferring or preventing a change in control of us. However, this voting requirement is not applicable to business combinations if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has approved a memorandum of understanding with the other corporation with respect to the transaction prior to the time that the other corporation became a holder of more than 10% of our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proposed by a corporation of which we are the majority owner. </w:t>
            </w:r>
          </w:p>
        </w:tc>
      </w:tr>
    </w:tbl>
    <w:p>
      <w:pPr>
        <w:pStyle w:val="TextBody"/>
        <w:bidi w:val="0"/>
        <w:spacing w:before="240" w:after="0"/>
        <w:jc w:val="left"/>
        <w:rPr>
          <w:rFonts w:ascii="Times New Roman" w:hAnsi="Times New Roman"/>
          <w:sz w:val="20"/>
        </w:rPr>
      </w:pPr>
      <w:r>
        <w:rPr>
          <w:rFonts w:ascii="Times New Roman" w:hAnsi="Times New Roman"/>
          <w:i/>
          <w:sz w:val="20"/>
        </w:rPr>
        <w:t>Classified Board of Directors and Related Provisions</w:t>
      </w:r>
      <w:r>
        <w:rPr>
          <w:rFonts w:ascii="Times New Roman" w:hAnsi="Times New Roman"/>
          <w:sz w:val="20"/>
        </w:rPr>
        <w:t xml:space="preserve">. Our Amended and Restated Bylaws provide that the number of our directors will be established from time to time by a majority vote of our Board of Directors or our shareholders. Our Amended and Restated Bylaws also provide that our Board of Directors will be divided into three classes of directors, with each class having a number of directors as nearly equal as possible to each other class and that directors will serve for staggered three-year terms. As a result, one-third of our Board of Directors will be elected each year. These classified board provisions could prevent a party who acquires control of a majority of our outstanding voting stock from obtaining control of the Board of Directors until the second annual shareholders meeting following the date on which the acquirer obtains its controlling interest. Additionally, our Board of Directors’ Governance Principles include a director majority vote policy. The majority vote policy is applicable solely to uncontested elections, which are those elections in which the number of nominees for election is less than or equal to the number of directors to be elected. Under the majority vote policy,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nominee for director who receives more “withheld” votes than “for” votes in an uncontested election must submit a written offer to resign as director. Any such resignation will be reviewed by our Nominating, Sustainability and Corporate Governance Committee, and, within 90 days after the election, the independent members of the Board of Directors will determine whether to accept, reject or take other appropriate action with respect to the resignation in furtherance of the best interests of us and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may remove any of our directors or our entire Board of Directors if the votes in favor of removal constitute at least a majority of all of our outstanding voting stock entitled to vote. However, our Amended and Restated Bylaws also provide that our shareholders may only remove our directors for “cause” and only by a vote at a meeting that is called for the purpose of removing the director or directors. Our Amended and Restated Bylaws define “cause” as failing to substantially perform one’s duties to us (other than as a result of incapacity due to physical or mental illness) or willfully engaging in gross misconduct injurious to us. If there is a vacancy on our Board of Directors, a majority of either our remaining directors or our shareholders may fill the vacancy. </w:t>
      </w:r>
    </w:p>
    <w:p>
      <w:pPr>
        <w:pStyle w:val="TextBody"/>
        <w:bidi w:val="0"/>
        <w:spacing w:before="240" w:after="0"/>
        <w:jc w:val="left"/>
        <w:rPr>
          <w:rFonts w:ascii="Times New Roman" w:hAnsi="Times New Roman"/>
          <w:sz w:val="20"/>
        </w:rPr>
      </w:pPr>
      <w:r>
        <w:rPr>
          <w:rFonts w:ascii="Times New Roman" w:hAnsi="Times New Roman"/>
          <w:i/>
          <w:sz w:val="20"/>
        </w:rPr>
        <w:t>Shareholder Action By Written Consent</w:t>
      </w:r>
      <w:r>
        <w:rPr>
          <w:rFonts w:ascii="Times New Roman" w:hAnsi="Times New Roman"/>
          <w:sz w:val="20"/>
        </w:rPr>
        <w:t xml:space="preserve">. Our Amended and Restated Bylaws provide that any actions which our shareholders may take at a shareholders’ meeting can be taken by written consent in lieu of a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to effect a shareholder action by written consent in lieu of a meeting, holders of our outstanding voting stock, having at least the minimum number of votes that would be necessary to authorize the action at a shareholders’ meeting, must sign a written consent which states the action to be taken. If our shareholders take any action by written consent in lieu of a meeting, we must notify all of our shareholders that did not consent to the action in writing within 10 days after receiving the written consent and describe the action to them and whether dissenters’ rights are available. </w:t>
      </w:r>
    </w:p>
    <w:p>
      <w:pPr>
        <w:pStyle w:val="TextBody"/>
        <w:bidi w:val="0"/>
        <w:spacing w:before="24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Our Amended and Restated Articles of Incorporation and/or Amended and Restated Bylaws provide that we will indemnify each of our directors and officers to the fullest extent permitted by law. Our Amended and Restated Bylaws permit us to purchase insurance on behalf of our directors, officers, employees and agents and directors, officers, employees or agents of another corporation, partnership, joint venture, trust or other enterprise, serving as such at our request, against liabilities that they may incur in those capacities, whether or not we would have the power to indemnify them against such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Florida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As a Florida corporation, we are subject to certain anti-takeover provisions that apply to public corporations under Florida law. Pursuant to Section 607.0901 of the Florida Business Corporation Act, or the Florida Act, a publicly held Florida corporation may not engage in a broad range of business combinations or other extraordinary corporate transactions with an interested shareholder for a period of three years following the time that such shareholder became an interested shareholder unless (A) prior to the time that such shareholder became an interested shareholder, the board of directors approved the affiliated transaction or the transaction which resulted in the shareholder becoming an interested shareholder, (B) upon consummation of the transaction which resulted in the shareholder becoming an interested shareholder, the interested shareholder owned at least 85% of the voting shares of the corporation outstanding at the time the transaction commenced, excluding for purposes of determining the voting shares outstanding, but not the outstanding voting shares owned by the interested shareholder, those shares owned by persons who are directors and also officers and by employee stock plans in which employee participants do not have the right to determine confidentially whether shares held subject to the plan will be tendered in a tender or exchange offer or (C) at or subsequent to the time that such shareholder became an interested shareholder, the affiliated transaction is approved by the board of directors and authorized at an annual or special meeting of shareholders, and not by written consent, by the affirmative vote of at least two-thirds of the voting shares of the corporation (excluding shares held by the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a majority of disinterested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has not had more than 300 shareholders of record at any time during the three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has beneficially owned at least 80% of the corporation’s outstanding voting shares for at least three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is the beneficial owner of at least 90% of the outstanding voting shares of the corporation, exclusive of shares acquired directly from the corporation in a transaction not approved by a majority of the disinterested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paid to the holders of the corporation’s voting stock is at least equal to certain fair price criteria and certain other requirements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interested shareholder is defined, subject to certain exceptions, as a person who together with affiliates and associates beneficially owns more than 15% of a corporation’s outstanding voting shares. We have not made an election in our Amended and Restated Articles of Incorporation to opt out of Section 607.0901.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Section 607.0902 of the Florida Act which prohibits the voting of shares in a publicly held Florida corporation that are acquired in a control share acquisition unless, among other exceptions, (i) our Board of Directors approved such acquisition prior to its consummation or (ii) after such acquisition, in lieu of prior approval by our Board of Directors, the holders of a majority of the corporation’s voting shares,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entitles the acquiring party to 20% or more of the total voting power in an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62972_7"/>
      <w:bookmarkEnd w:id="18"/>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depositary shares, each of which will represent a fractional interest of a share of a particular class or series of our preferred stock, as specified in the applicable prospectus supplement which will more fully describe the terms of those depositary shares. Shares of a class or series of preferred stock represented by depositary shares will be deposited under a separate deposit agreement among us, the depositary named therein and the holders from time to time of the depositary receipts issued by the preferred stock depositary which will evidence the depositary shares. Subject to the terms of the deposit agreement, each owner of a depositary receipt will be entitled, in proportion to the fractional interest of a share of a particular class or series of preferred stock represented by the depositary shares evidenced by that depositary receipt, to all the rights and preferences of the class or series of preferred stock represented by those depositary shares (including dividend, voting, conversion, redemption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to be issued will be evidenced by depositary receipts issued pursuant to the applicable deposit agreement. Immediately following the issuance and delivery of a class or series of preferred stock by us to the preferred stock depositary, we will cause the preferred stock depositary to issue, on our behalf, the depositary receipts. The following description of the depositary shares, and any description of the depositary shares in a prospectus supplement, may not be complete and is subject to, and qualified in its entirety by reference to, the underlying deposit agreement and the depositary receipt, which we will file with the SEC at or prior to the time of the sale of the depositary shares. You should refer to, and read this summary together with, the deposit agreement and related depositary receipt. You can obtain copies of any form of deposit agreement or other agreement pursuant to which the depositary shares are issued by following the directions described under the caption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will distribute all cash dividends or other cash distributions received in respect of a class or series of preferred stock to the record holders of depositary receipts evidencing the related depositary shares in proportion to the number of those depositary receipts owned by those holders, subject to certain obligations of holders to file proofs, certificates and other information and to pay certain charges and expenses to the preferred stock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distribution other than in cash, the preferred stock depositary will distribute property received by it to the record holders of depositary receipts entitled thereto, subject to certain obligations of holders to file proofs, certificates and other information and to pay certain charges and expenses to the preferred stock depositary, unless the preferred stock depositary determines that it is not feasible to make that distribution, in which case the preferred stock depositary may, with our approval, sell that property and distribute the net proceeds from that sale to those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the depositary receipts at the corporate trust office of the preferred stock depositary (unless the related depositary shares have previously been called for redemption or converted into excess preferred stock or otherwise), the holders thereof will be entitled to delivery at that office, to or upon that holder’s order, of the number of whole or fractional shares of the class or series of preferred stock and any money or other property represented by the depositary shares evidenced by those depositary receipts. Holders of depositary receipts will be entitled to receive whole or fractional shares of the related class or series of preferred stock on the basis of the proportion of preferred stock represented by each depositary share as specified in the applicable prospectus supplement, but holders of those shares of preferred stock will not thereafter be entitled to receive depositary shares therefor. If the depositary receipts delivered by the holder evidence a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depositary shares in excess of the number of depositary shares representing the number of shares of preferred stock to be withdrawn, the preferred stock depositary will deliver to that holder at the same time a new depositary receipt evidencing the excess number of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a class or series of preferred stock held by the preferred stock depositary, the preferred stock depositary will redeem as of the same redemption date the number of depositary shares representing shares of the class or series of preferred stock so redeemed, provided we shall have paid in full to the preferred stock depositary the redemption price of the preferred stock to be redeemed plus an amount equal to any accrued and unpaid dividends thereon to the date fixed for redemption. The redemption price per depositary share will be equal to the corresponding proportion of the redemption price and any other amounts per share payable with respect to that class or series of preferred stock. If fewer than all the depositary shares are to be redeemed, the depositary shares to be redeemed will be selected pro rata (as nearly as may be practicable without creating fractional depositary shares) or by any other equitable method determined by us that will not result in the issuance of any excess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date fixed for redemption, all dividends in respect of the shares of a class or series of preferred stock so called for redemption will cease to accrue, the depositary shares so called for redemption will no longer be deemed to be outstanding and all rights of the holders of the depositary receipts evidencing the depositary shares so called for redemption will cease, except the right to receive any moneys payable upon their redemption and any money or other property to which the holders of those depositary receipts were entitled upon their redemption and surrender thereof to the preferred stock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a class or series of preferred stock deposited with the preferred stock depositary are entitled to vote, the preferred stock depositary will mail the information contained in that notice of meeting to the record holders of the depositary receipts evidencing the depositary shares which represent that class or series of preferred stock. Each record holder of depositary receipts evidencing depositary shares on the record date (which will be the same date as the record date for that class or series of preferred stock) will be entitled to instruct the preferred stock depositary as to the exercise of the voting rights pertaining to the amount of preferred stock represented by that holder’s depositary shares. The preferred stock depositary will vote the amount of that class or series of preferred stock represented by those depositary shares in accordance with those instructions, and we will agree to take all reasonable action which may be deemed necessary by the preferred stock depositary in order to enable the preferred stock depositary to do so. The preferred stock depositary will abstain from voting the amount of that class or series of preferred stock represented by those depositary shares to the extent it does not receive specific instructions from the holders of depositary receipts evidencing those depositary shares. The preferred stock depositary shall not be responsible for any failure to carry out any instruction to vote, or for the manner or effect of any vote made, as long as that action or non-action is in good faith and does not result from negligence or willful misconduct of the preferred stock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whether voluntary or involuntary, the holders of each depositary receipt will be entitled to the fraction of the liquidation preference accorded each share of preferred stock represented by the depositary shares evidenced by that depositary receipt,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series of preferred stock underlying the depositary shares is subject to conversion or exchange, the applicable prospectus supplement will describe the rights or obligations of each record holder of depositary receipts to convert or exchange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us and the preferred stock depositary. However, any amendment that materially and adversely alters the rights of the holders of depositary receipts or that would be materially and adversely inconsistent with the rights granted to the holders of the related class or series of preferred stock will not be effective unless that amendment has been approved by the existing holders of at least two thirds of the depositary shares evidenced by the depositary receipts then outstanding. No amendment shall impair the right, subject to certain exceptions in the deposit agreement, of any holder of depositary receipts to surrender any depositary receipt with instructions to deliver to the holder the related class or series of preferred stock and all money and other property, if any, represented thereby, except in order to comply with law. Every holder of an outstanding depositary receipt at the time any of those types of amendments becomes effective shall be deemed, by continuing to hold that depositary receipt, to consent and agree to that amendment and to be bound by the deposit agreement as amended thereby. </w:t>
      </w:r>
    </w:p>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upon not less than 30 days’ prior written notice to the preferred stock depositary if a majority of each class or series of preferred stock subject to that deposit agreement consents to that termination, whereupon the preferred stock depositary shall deliver or make available to each holder of depositary receipts, upon surrender of the depositary receipts held by that holder, that number of whole or fractional shares of each class or series of preferred stock as are represented by the depositary shares evidenced by those depositary receipts together with any other property held by the preferred stock depositary with respect to those depositary receipts. Additionally,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issued thereunder shall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have been a final distribution in respect of each class or series of preferred stock subject to that deposit agreement in connection with our liquidation, dissolution or winding up and that distribution shall have been distributed to the holders of depositary receipts evidencing the depositary shares representing that class or series of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preferred stock subject to that deposit agreement shall have been converted into our stock not so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Charges of Preferred Stock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preferred stock depositary in connection with the performance of its duties under the deposit agreement. However, holders of depositary receipts will pay the fees and expenses of the preferred stock depositary for any duties requested by those holders to be performed which are outside of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Preferred Stock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may resign at any time by delivering notice to us of its election to do so, and we may at any time remove the preferred stock depositary, that resignation or removal to take effect upon the appointment of a successor preferred stock depositary. A successor preferred stock depositary must be appointed within 60 days after delivery of the notice of resignation or removal and must be a bank or trust company having its principal office in the United States and having a combined capital and surplus of at least $50,000,000.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will forward to holders of depositary receipts any reports and communications from us which are received by it with respect to the related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preferred stock depositary will be liable if it is prevented from or delayed in, by law or any circumstances beyond its control, performing its obligations under the deposit agreement. Our obligations and those of the preferred stock depositary under the deposit agreement will be limited to performing our respective duties thereunder in good faith and without negligence (in the case of any action or inaction in the voting of a class or series of preferred stock represented by the depositary shares), gross negligence or willful misconduct, and neither we nor the preferred stock depositary will be obligated to prosecute or defend any legal proceeding in respect of any depositary receipts, depositary shares or shares of a class or series of preferred stock represented thereby unless satisfactory indemnity is furnished. We and the preferred stock depositary may rely on written advice of counsel or accountants, or information provided by persons presenting shares of a class or series of preferred stock represented thereby for deposit, holders of depositary receipts or other persons believed in good faith to be competent to give that information, and on documents believed in good faith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preferred stock depositary shall receive conflicting claims, requests or instructions from any holders of depositary receipts, on the one hand, and us, on the other hand, the preferred stock depositary shall be entitled to act on those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62972_8"/>
      <w:bookmarkEnd w:id="1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senior debt securities under that certain Indenture dated June 5, 2009, by and among us, certain of our subsidiaries and U.S. Bank Trust Company, National Association, as trustee, and we may issue subordinated debt securities under an indenture between us and a U.S. banking institution, as the indenture trustee. Each indenture will be subject to, and governed by, the Trust Indenture Act of 1939, as amended, and we may supplement the indentures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summarizes the material provisions of the indentures and the debt securities that we may issue under the indentures. This summary is not complete and may not describe all of the provisions of the indentures or of any of the debt securities that might be important to you. For additional information, you should carefully read the forms of indenture that are incorporated by reference as exhibits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debt securities, we will describe the specific terms of those debt securities in a supplement to this prospectus. We will also indicate in the supplement whether the general terms in this prospectus apply to a particular series of debt securities. Accordingly, for a description of the terms of a particular issue of debt securities, you should carefully read both this prospectus and the applicable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the summary below, we have included references to the section numbers of the indentures so that you can easily locate the related provisions in the indentures for additional detail. You should also refer to the applicable indenture for the definitions of any capitalized terms that we use below but do not define in this prospectus. When we refer to particular sections of the indentures or to defined terms in the indentures, we intend to incorporate by reference those sections and defined terms into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be our direct obligations. The amount of debt securities we may offer under this prospectus is unlimited as to principal amount. We may issue the debt securities, from time to time and in one or more series, established in or pursuant to authority granted by one or more resolutions of our board of directors, and set forth in, or determined in the manner provided in, an officers’ certificate, or established in one or more supplemental indentures. We may issue debt securities with terms different from those of our previously issued debt securities (Section 301). In the event that debt securities offered by us are to be guaranteed, we will file a post-effective amendment to the registration statement of which this prospectus is a part setting forth the identity of any guarantors.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there may be more than one trustee under such indenture, each such trustee with respect to one or more series of debt securities. Any trustee under the indentures may resign or be removed with respect to one or more series of debt securities, and a successor trustee may be appointed to act with respect to that series (Sections 608 and 609). If two or more persons act as trustee with respect to different series of debt securities, each trustee shall be a trustee of a trust under that indenture separate and apart from the trust administered by any other trustee (Sections 101 and 609). Except as otherwise indicated in this prospectus, each trustee may take any action described in this prospectus only with respect to the one or more series of debt securities for which it is trustee under the relevant indenture. </w:t>
      </w:r>
    </w:p>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applicable supplement to this prospectus relating to a particular series of debt securities or the applicable post-effective amendment to the registration statement of which this prospectus forms a part for the specific terms of the debt securities,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whether the debt securities will be guaranteed and the identity of the guarantor or guarantors,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and any limit on the total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expressed as a percentage of the principal amount of the debt securities, at which we will issue the debt securities and any portion of the principal amount payable upon acceleration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by which holders of the debt securities may convert or exchange the debt securities for our common stock, our preferred stock or any of our other securities or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convertible or exchangeable, any limitations on the ownership or transferability of the securities or property into which holders may convert or exchange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we will be obligated to pay the principal of the debt securities and the amount of principal we will be obligated to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of the series will bear interest, if any, or the method by which the rate or rates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senior subordinated or subordinated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any interest will accrue on the debt securities, the dates on which we will be obligated to pay any interest, the regular record dates, if any, for the interest payments, or the method by which the dates will be determined, the persons to whom we will be obligated to pay interest and the basis upon which interest will be calculated, if other than that of a 360-day year consisting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any premium, make-whole amount, interest or additional amounts on, the debt securities will be payable, where the holders of the debt securities may surrender their debt securities for conversion, transfer or exchange, and where the holders may serve notices or demands to us in respect of the debt securities and the indenture (Section 101);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or bearer form, and the terms and conditions relating to the form, and, if in registered form, the denominations in which we will issue the debt securities if other than $1,000 or a multiple of $1,000 and, if in bearer form, the denominations in which we will issue the debt securities if other than $5,000;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trustee of the debt securities of the series and, if other than the trustee, the identity of each security registrar and/or paying agent for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during which, the price or prices, including any premium at which, the currency or currencies in which, and the other terms and conditions upon which, we may redeem the debt securities at our option, if we have such an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that we have to redeem, repay or purchase debt securities under any sinking fund or similar provision or at the option of a holder of debt securities and the terms and conditions upon which we will redeem, repay or purchase all or a portion of the debt securities under that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we will sell the debt securities and in which the debt securities will be denominated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 of principal of, and any premium, make-whole amount or interest on, the debt securities of the series may be determined with reference to an index, formula or other method and the manner in which the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principal of, and any premium, make-whole amount, additional amounts or interest on, the debt securities of the series are to be payable, at our election or at the election of a holder of the debt securities, in a currency or currencies other than that in which the debt securities are denominated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stated to be payable, the period or periods during which, and the terms and conditions upon which, this election may be made, and the time and manner of, and identity of the exchange rate agent responsible for, determining the exchange rate between the currency or currencies in which the debt securities are denominated or stated to be payable and the currency or currencies in which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initial exchange rate agent, if any, or any depositaries;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of the series at the occurrence of named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additions to, modifications of or deletions from the terms of the debt securities with respect to the events of default or covenants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will be issued in certificated or book-entry form and the related terms and conditions, including whether any debt securities will be issued in temporary and/or permanent global form, and if so, whether the owners of interests in any permanent global debt security may exchange those interests for debt securities of that series and of like tenor of any authorized form and denomination and the circumstances under which any exchanges may occur, if other than in the manner provided in the indenture (Section 305), and, if debt securities of or within the series are to be issuable as a global debt security, the identity of the depositary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as of which any bearer securities, and/or temporary global debt security representing outstanding securities of or within the series will be dated if other than the date of original issuance of the first debt security of the series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will be issued in definitive form only upon our receipt, or the trustee’s receipt, of certificates or other documents, or upon the satisfaction of conditions, a description of those certificates, documents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will be issued upon the exercise of debt warrants, the time, manner and place for the debt securities to be authenticated and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if any, of the defeasance and covenant defeasance provisions of the indenture, as described below under “Discharge, Defeasance and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United States federal income tax consequences, including whether and under what circumstances we will pay any additional amounts, as contemplated in the indenture on the debt securities, to any holder who is not a United States person in respect of any tax, assessment or governmental charge withheld or deducted and, if we will pay additional amounts, whether, and on what terms, we will have the option to redeem the debt securities in lieu of paying the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security provided for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covenant or warranty included for the benefit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proposed listing of the debt securities on any securities exchange or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or of any guarantees issued in connection with the debt securities not inconsistent with the provisions of the indenture (Section 301).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Original Issue Discount Securities or Indexed Securities (which are debt securities that provide for the payment of less than the principal amount thereof upon acceleration of maturity, or maturity, as applicable) and may be subject to special U.S. federal income tax, accounting and other considerations, which considerations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from time to time, with the principal amount payable on any principal payment date, or the amount of interest payable on any interest payment date, to be determined by reference to one or more currencies or currency exchange rates, commodity prices, equity indices or other factors. Holders of debt securities with these features may receive payment of a principal amount on any principal payment date, or a payment of interest on any interest payment date, that is greater than or less than the amount of principal or interest otherwise payable on the applicable dates, depending upon the value on those dates of the applicable currencies or currency exchange rates, commodity prices, equity indices or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as to the methods for determining the amount of principal or interest payable on any date, the currencies or currency exchange rates, commodity prices, equity indices or other factors to which the amount payable on that date is linked and additional tax considerations will be included in the applicable prospectus supplement. All debt securities of any one series will be substantially identical, except as to denomination and except as may otherwise be provided by an officers’ certificate or in any supplement to the applicable indenture. We are not required to issue all of the debt securities of a series at the same time, and, unless otherwise provided in the applicable indenture, supplemental indenture or officers’ certificate, we may re-open a series without the consent of the holders of the debt securities of that series to issue additional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contain any provisions that limit our ability to incur indebtedness or that would protect holders of debt securities in the event we become a party to a highly-leveraged or similar transaction in which we would incur or acquire a large amount of additional debt, but such provisions may appear in the applicable prospectus supplement. You should refer to the applicable prospectus supplement for information regarding any deletions from, modifications of or additions to the events of default or covenants that are described below, including any addition of a covenant or other provision providing event risk or similar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issue debt securities, such debt securities may be unconditionally and irrevocably guaranteed by us or certain of our subsidiaries that will be listed as guarantors in the applicable post-effective amendment to the registration statement, of which this prospectus forms a part, and any applicable prospectus supplement. Any guarantee would cover the timely payment of the principal of, and any premium, make-whole amount, interest or sinking fund payments on, the debt securities, whether we make the payment at a maturity date, as a result of acceleration or redemption or otherwise. We will more fully describe the existence and terms of any guarantee of any of our debt securities by us or our subsidiaries in the post-effective amendment and any applicable prospectus supplement relating to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Denominations, Interest,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any debt securities of any series that we issue in registered form will be issued in denominations of $1,000 and multiples of $1,000, and debt securities of any series that we issue in bearer form will be issued in denominations of $5,000 (Section 302).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states otherwise, the principal of, and any premium, make-whole amount or interest on, any series of debt securities will be payable in the currency designated in the prospectus supplement at the corporate trust office of the trustee, initially, U.S. Bank Trust Company, National Association–Corporate Trust Services, 60 Livingston Avenue, St. Paul, MN 55107. At our option, however, payment of interest may be made by check mailed to the address of the person entitled to the interest payment as it appears in the security register for the series or by wire transfer of funds to that person at an account maintained within the United States (Sections 301, 305, 307 and 1002). We may at any time designate additional paying agents or rescind designation of any paying agents or approve a change in the office through which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paying agent acts, except that we will be required to maintain a paying agent in each place of payment for any series. All monies that we pay to a paying agent for the payment of any principal of, or any premium, make-whole amount, interest or additional amounts on, any debt security which remains unclaimed at the end of two years after that payment became due and payable will be repaid to us. After that time, the holder of the debt security will be able to look only to us for payment (Section 1003).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that we do not punctually pay on any interest payment date with respect to a debt security will cease to be payable to the holder on the applicable regular record date and may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paid to the holder at the close of business on a Special Record Date for the payment of defaulted interest, to be determined by the trustee (Sections 101 and 307);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paid at any time in any other lawful manner, as more fully described in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imposed upon debt securities issued in book-entry form, debt securities of any series will be exchangeable for other debt securities of the same series and of the same total principal amount and authorized denomination upon the surrender of the debt securities at the corporate trust office of the trustee. In addition, subject to certain limitations imposed upon debt securities issued in book-entry form, the debt securities of any series may be surrendered for conversion, transfer or exchange at the corporate trust office of the trustee. Every debt security surrendered for redemption, transfer or exchange must be duly endorsed or accompanied by a written instrument of transfer. There will be no service charge for any transfer or exchange of any debt securities, but we may require holders to pay any tax or other governmental charge payable in connection with the transfer or exchange (Section 305). </w:t>
      </w:r>
    </w:p>
    <w:p>
      <w:pPr>
        <w:pStyle w:val="TextBody"/>
        <w:bidi w:val="0"/>
        <w:spacing w:before="240" w:after="0"/>
        <w:jc w:val="left"/>
        <w:rPr>
          <w:rFonts w:ascii="Times New Roman" w:hAnsi="Times New Roman"/>
          <w:sz w:val="20"/>
        </w:rPr>
      </w:pPr>
      <w:r>
        <w:rPr>
          <w:rFonts w:ascii="Times New Roman" w:hAnsi="Times New Roman"/>
          <w:sz w:val="20"/>
        </w:rPr>
        <w:t xml:space="preserve">If the applicable prospectus supplement refers to us designating any transfer agent for any series of debt securities, in addition to the trustee, we may at any time remove the transfer agent or approve a change in the location at which the transfer agent acts, except that we will be required to maintain a transfer agent in each place of payment for any series of debt securities. We may at any time designate additional transfer agents with respect to any series of debt securities (Section 1002).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trustee will be required to do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debt securities of any series during a period beginning at the opening of business 15 days before there is a selection of debt securities of that series to be redeemed and ending at the close of business on the day of mailing or publication of the relevant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security, or portion thereof, called for redemption, except the unredeemed portion of any debt security being only partially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any debt security in bearer form that is selected for redemption, except that a debt security in bearer form may be exchanged for a debt security in registered form of that series and like denomination, provided that the debt security in registered form must be simultaneously surrendered for redemption;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register the transfer or exchange of any debt security that has been surrendered for repayment at the option of the holder, except the portion, if any, of the debt security that will not be partially or entirely repaid (Section 305).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the form of one or more fully registered global securities that will be deposited with a depositary or with a custodian for a depositary identified in the prospectus supplement relating to the series and registered in the name of the depositary or its nominee. In this case, we will issue one or more global securities in a denomination or total denominations equal to the portion of the total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outstanding registered debt securities of the series to be represented by the global security or securities. We expect that any global securities issued in the United States would be deposited with The Depositary Trust Company, as depositary or its custodian. We may issue any global securities in fully registered form on a temporary or permanent basis. Unless and until a global security is exchanged for debt securities in definitive registered form, a permanent global security may not be transferred except as a whole by the depositary to its nominee or by a nominee to the depositary or another nominee, or by the depositary or its nominee to a successor of the depositary or the successor depositary’s nominee.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depositary arrangement with respect to any series of debt securities to be represented by a registered global security will be described in the applicable prospectus supplement. We anticipate that the following provisions will apply to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that have accounts with, or are participants of, the depositary for the registered global security, or persons that may hold interests through participants. When we issue a registered global security, the depositary will credit, on its book-entry registration and transfer system, the participants’ accounts with the respective principal amounts of the debt securities represented by the global security owned by those participants. The accounts to be credited will be designated by any dealers, underwriters or agents participating in an offering of the debt securities, or by us or the trustee if we are directly offering the debt securities. The participants’ ownership, and any transfer, of a registered global security will be shown on records maintained by the depositary, and ownership of persons who hold debt securities through participants will be reflected on the records of the participants. State and federal laws may impair a person’s ability to own, transfer or pledge interests in a registered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the global security, the depositary or its nominee, as the case may be, will be considered the sole owner or holder of the debt securities represented by the global security for all purposes under the applicable indenture. Except as set forth below, owners of beneficial interests in a global security will not be entitled to have the debt securities represented by the registered global security registered in their names, will not receive or be entitled to receive physical delivery of the debt securities in definitive form and will not be considered the owners or holders of the debt securities under the applicable indenture. Accordingly, each person owning a beneficial interest in a registered global security must rely on the depositary’s procedures and, if that person is not a participant, on the procedures of the participant through which that person owns its interest to exercise any rights of a holder under the applicable indenture. We understand that under existing industry practices, if we request any action of holders or if an owner of a beneficial interest in a registered global security desires to give or take any action which a holder is entitled to give or take under the applicable indenture, the depositary would authorize the participants holding the relevant beneficial interests to give or take the action, and the participants would authorize beneficial owners owning through those participants to give or take the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and any premium, make-whole amount, interest or additional amounts on a registered global security will be made to the depositary or its nominee, as the case may be, as the registered owners of the global security. Neither we, the trustee, the paying agent nor the registrar, nor any other agent of ours or of the trustee, will have any responsibility or liability for any aspect of the records relating to, or payments made on account of, beneficial ownership interests in the global security or for maintaining, supervising or reviewing any records relating to the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once the depositary receives any payment of principal of, any premium, make-whole amount, interest or additional amount on, a registered global security, the depositary will immediately credit participants’ accounts with payments in amounts proportionate to their respective beneficial interests in the global security, as shown on the records of the depositary. We also expect that payments by participants to owners of beneficial interests in the registered global security held through the participants will be governed by standing customer instructions and customary practices, as is now the case with the securities held for the accounts of customers in bearer form or registered in “street name,” and will be the responsibility of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depositary is at any time unwilling or unable to continue as depositary or ceases to be a clearing agency under the Securities Exchange Act of 1934, as amended, or the Exchange Act, and we do not appoint a successor depositary within 90 days, we will issue debt securities in definitive form in exchange for the registered global security. In addition, we may at any time and in our sole discretion decide not to have any of the debt securities of a series represented by one or more global securities, and, in such event, we will issue debt securities in definitive form in exchange for all of the global security or securities representing the debt securities. We will register any debt securities issued in definitive form in exchange for a global security in the name or names that the depositary provides to the trustee. We expect that those names will be based upon directions received by the depositary from participants with respect to ownership of beneficial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in bearer form may also be issued in the form of one or more global securities that will be deposited with a common depositary for Euroclear and Clearstream, or with a nominee for the depositary identified in the applicable prospectus supplement. We will describe in the applicable prospectus supplement the specific terms and procedures of the depositary arrangement, including the specific terms of the depositary arrangement and any specific procedures, for the issuance of debt securities in definitive form in exchange for a global security in bearer form, with respect to any portion of a series of debt securities to be represented by a global security in bearer form.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with, or sell, lease or convey all or substantially all of our assets to, or merge with or into, any other corporation, trust or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survivor in the transaction, or the survivor, if not us, is an entity organized under the laws of the United States or a state of the United States, which entity expressly assumes by supplemental indenture the due and punctual payment of the principal of, and any premium, make-whole amount, interest and additional amounts on, all of the outstanding debt securities and the due and punctual performance and observance of all of the covenants and conditions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and treating any indebtedness that becomes an obligation of ours or one of our subsidiaries as a result of the transaction as having been incurred by us or our subsidiary at the time of the transaction, there is no event of default under the applicable indenture and no event which, after notice or the lapse of time, or both, would become an event of default;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an officers’ certificate and an opinion of our legal counsel, as to the satisfaction of conditions contained in the applicable indenture (Sections 801 and 803).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covenant would not apply to any recapitalization transaction, a change of control of us or a transaction in which we incur a large amount of additional debt, unless the transactions or change of control included a merger, consolidation or transfer or lease of substantially all of our assets. Except as may be described in the applicable prospectus supplement, there are no covenants or other provisions in the indentures providing for a “put” right or increased interest or that would otherwise afford holders of debt securities additional protection in the event of a recapitalization transaction, a change of control of us or a transaction in which we incur a large amount of additional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Provision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we are subject to Section 13 or 15(d) of the Exchange Act, we will file annual reports, quarterly reports and other documents with the SEC pursuant to Sections 13 and 15(d) as if we were so subject, on or prior to the dates by which we are or would have been required to file those documents if we were so subject. In any event, we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15 days of each of the respective dates by which we are or would have been required to file annual reports, quarterly reports or other documents with the SEC under Sections 13 and 15(d) of the Exchange Act, mail to all holders of debt securities, without cost to such holders, copies of the annual reports and quarterly reports and file with the applicable trustee copies of the annual reports, quarterly reports and other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upon written request and payment of the reasonable cost of duplication and delivery, supply copies of those documents to holders and any prospective holders of debt securities if filing those documents with the SEC is not permitted under the Exchange Act (Section 1005).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Any additional covenants with respect to any series of debt securities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applicable prospectus supplement, the following events are “events of default” with respect to any series of debt securities that we may issue under 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for 30 days to pay any installment of interest or any additional amounts payable on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the principal of, or any premium or make-whole amount on, any debt security of that series when due, either at maturity,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make any sinking fund payment as required for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breach or fail to perform any covenant or warranty contained in the applicable indenture, other than a covenant or warranty otherwise provided for in the applicable indenture, and our breach or failure to perform continues for 60 days after we have received written notice in accordance with the applicable indenture of our breach or failure to perform;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default under a bond, debenture, note, mortgage, indenture or instrument securing or evidencing indebtedness for money borrowed by us, or by any subsidiaries of ours that we have guaranteed or for which we are directly responsible or liable as obligor or guarantor, that has a principal amount outstanding in excess of $20,000,000, other than indebtedness which is non-recourse to us or our subsidiaries, which default has caused the indebtedness to become due and payable earlier than it would otherwise have become due and payable, and the indebtedness has not been discharged or the acceleration has not been rescinded or annulled, within 30 days after written notice was provided to us in accordance with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one or more judgments, orders or decrees against us or any of our subsidiaries in an aggregate amount (excluding amounts covered by insurance) in excess of $20,000,000, which remain(s) undischarged, unstayed, and unsatisfied in an aggregate amount (excluding amounts covered by insurance) in excess of $20,000,000 for 60 consecutive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bankruptcy, insolvency or reorganization or court appointment of a receiver, liquidator, trustee, assignee, or other similar official for us or any of our Significant Subsidiaries, or for all or substantially all of our properties or the properties of our Significant Subsidiaries or the general assignment by us or any of our Significant Subsidiaries for the benefit of our or their creditors or an order for the liquidation of MasTec, Inc. or any of our Significant Subsidiaries which remains unstayed and in effect for 90 days;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described in the applicable prospectus supplement and indenture (Section 501).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there is a continuing event of default with respect to outstanding debt securities of a series, then the trustee or the holders of not less than 25% in aggregate principal amount of the outstanding debt securities of that series, voting as a single class, may declare immediately due and payable the principal amount or other amount as may be specified by the terms of those debt securities and any premium or make-whole amount on the debt securities of that series and any accrued and unpaid cash interest through the date of such declaration; provided, however, that, upon the occurrence and continuation of certain defaults related to bankruptcy or insolvency, the principal of, and the Make-Whole Amount, if any, on all the outstanding debt securities of that series and any accrued interest through the occurrence of such Event of Default, shall become due and payable immediately, without any declaration or other act by the Trustee or any other Holder. Notwithstanding the foregoing, if any debt securities of a series are Original Issue Discount Securities or Indexed Securities, the terms thereof may provide for the payment of a portion of the principal amount thereof in the case of an acceleration of payment as a result of an Event of Default. At any time after an acceleration with respect to debt securities of a series has been made, but before a judgment or decree for payment of the money due has been obtained by the trustee, the holders of not less than a majority in principal amount of the outstanding debt securities of that series may cancel the acceleration and annul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deposit with the trustee all required payments of the principal of, and any premium, make-whole amount, interest, and additional amounts on, the applicable series of debt securities, plus fees, expenses, disbursements and advances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premium, make-whole amount, or interest, with respect to the applicable series of debt securities have been cured or waived as provided in the indentures (Section 502).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also provide that the holders of not less than a majority in principal amount of the outstanding debt securities of any series may waive any past default with respect to that series and its consequences (except in respect of certain events of default related to bankruptcy or insolvency, the waiver of which requires approval of a majority in principal amount of all outstanding debt securities under the applicable indenture), except a default involving: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of, and any premium, make-whole amount, interest or additional amounts on, any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covenant or provision contained in the applicable indenture that cannot be modified or amended without the consent of the holders of each outstanding debt security affected by the default (Section 513).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is generally required to give notice to the holders of debt securities of each affected series within 90 days of a default actually known to the trustee unless the default has been cured or waived. The trustee may, however, withhold notice of default unless the default relates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of, and any premium, make-whole amount, interest or additional amounts on, any debt security of that series;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installment for any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Responsible Officers of the trustee in good faith consider it to be in the interest of the holders of the debt securities of that series (Sections 101 and 601).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no holder of debt securities of any series may institute a proceeding with respect to the indenture or for any remedy under the indenture, unless the trustee fails to act for 60 days after it has received a written notice of a continuing event of default with respect to the debt securities of that series from such holder and a written request to institute proceedings in respect of an event of default from the holders of not less than 25% in principal amount of the outstanding debt securities of that series (except in respect of certain events of default related to bankruptcy or insolvency, which requires the written request of not less than 25% in principal amount of all outstanding debt securities under the applicable indenture), as well as an offer of indemnity satisfactory to the trustee; provided, that no direction inconsistent with such request has been given to the trustee during such 60-day period by the holders of a majority in principal amount of outstanding debt securities of that series or the holders of a majority in principal amount of all outstanding debt securities under the applicable indenture, as applicable (Section 507). This provision will not prevent, however, any holder of debt securities from instituting suit for the enforcement of payment of the principal of, and any premium, make-whole amount, interest or additional amounts on, the debt securities at their respective due dates (Section 508). </w:t>
      </w:r>
    </w:p>
    <w:p>
      <w:pPr>
        <w:pStyle w:val="TextBody"/>
        <w:bidi w:val="0"/>
        <w:spacing w:before="240" w:after="0"/>
        <w:jc w:val="left"/>
        <w:rPr>
          <w:rFonts w:ascii="Times New Roman" w:hAnsi="Times New Roman"/>
          <w:sz w:val="20"/>
        </w:rPr>
      </w:pPr>
      <w:r>
        <w:rPr>
          <w:rFonts w:ascii="Times New Roman" w:hAnsi="Times New Roman"/>
          <w:sz w:val="20"/>
        </w:rPr>
        <w:t xml:space="preserve">Subject to provisions in each indenture relating to the trustee’s duties in case of default, the trustee is not under an obligation to exercise ant of its rights or powers under the indenture at the request or direction of any holders of any series of debt securities then outstanding, unless the holders have offered the trustee security or indemnity satisfactory to it (Section 602). Subject to these provisions for the indemnification of the trustee, the holders of not less than a majority in principal amount of all outstanding debt securities of any series under the applicable indenture (except in respect of certain events of default related to bankruptcy or insolvency, the holders of a majority in principal amount of all outstanding debt securities under the applicable indenture) will have the right to direct the time, method and place of conducting any proceeding for any remedy available to the trustee, or of exercising any trust or power conferred upon the trustee. The trustee may, however, refuse to follow any direction which conflicts with any law or the applicable indenture, which may involve the trustee in personal liability or which may be unduly prejudicial to the holders of debt securities of the applicable series not joining in the direction, and the trustee may take any other action deemed proper by the trustee which is not inconsistent with the direction (Section 512).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must deliver to the trustee a certificate, signed by one of several specified officers, stating that officer’s knowledge of our compliance with all the conditions and covenants under the applicable indenture, and, in the event of any noncompliance, specifying the noncompliance and the nature and status of the noncompliance (Section 1006).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i/>
          <w:sz w:val="20"/>
        </w:rPr>
      </w:pPr>
      <w:r>
        <w:rPr>
          <w:rFonts w:ascii="Times New Roman" w:hAnsi="Times New Roman"/>
          <w:i/>
          <w:sz w:val="20"/>
        </w:rPr>
        <w:t xml:space="preserve">Modification Without Consent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Together with the trustee, we may, when authorized by our board of directors, modify each of the indentures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as obligor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existing covenants additional covenants for the benefit of the holders of all or any series of debt securities,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the indenture to facilitate the issuance of, or to liberalize the terms of, debt securities in bearer form, or to permit or facilitate the issuance of debt securities in uncertificated form, provided that this action will not adversely affect the interests of the holders of the debt securities of any series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change or eliminate any provisions of the indenture, provided that any addition, change or elimination shall neither apply to any debt security of any series created prior to the execution of such supplemental indenture and entitled to the benefit of such provision nor modify the rights of the holder of any debt security with respect to such provision or become effective only when there are no outstanding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previously unsecured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including the provisions and procedures, if applicable, for the conversion or exchange of the debt securities into our common stock, preferred stock or other securities or property or the addition or modification of any provisions of the indenture as necessary or desirable to provide for or facilitate the guarantee of such securities by one or more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or appointment of a successor trustee or facilitate the administration of the trusts under the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 for the subordination of the debt securities of a series or with respect to the conversion or exchange of rights of holders pursuant to the requirements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to make any other provisions with respect to matters or questions arising under the indenture which shall not be inconsistent with the provisions of the indenture or to make any other changes, provided that the action does not adversely affect the interests of holders of debt securities of any series issued under the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close the indenture with respect to the authentication and delivery of additional series of debt securities or to qualify, or maintain qualification of, the indenture under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the extent necessary to permit or facilitate defeasance and discharge of any series of debt securities, provided that the action shall not adversely affect the interests of the holders of the debt securities of any series in any material respect (Section 901).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Modification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Together with the trustee, we may, when authorized by our board of directors, also make modifications and amendments to each indenture with the consent of the holders of a majority in principal amount of the outstanding debt securities of all affected series. Without the consent of each affected holder, however, no modification to either indenture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make-whole amount or installment of principal of,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or amount of interest on, or any premium or make-whole amount payable on redemption of, or any additional amounts payable with respect to any debt security or change any obligation to pay additional amounts except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of an original issue discount security or make-whole amount that would be due and payable upon declaration of acceleration of the maturity of the original discount or other security, or would be provable in bankruptcy, or adversely affect any right of repayment of the holder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or the currency or currencies of payment of the principal of, and any premium, make-whole amount, interest, or additional amounts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or with respect to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the holders of outstanding debt securities of any series necessary to modify or amend the indenture, to waive compliance with provisions of the indenture or defaults and their consequences under the indenture, or to reduce the quorum or voting requirements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right to convert or exchange any debt security other than as permitted by the indenture or decrease the conversion or exchange rate or increase the conversion or exchange price of any such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provisions or any of the provisions relating to the waiver of past defaults or covenants, except to increase the required percentage of holders necessary to effect that action or to provide that other provisions may not be modified or waived without the consent of the holder of the debt security (Section 902).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Documentation </w:t>
      </w:r>
    </w:p>
    <w:p>
      <w:pPr>
        <w:pStyle w:val="TextBody"/>
        <w:bidi w:val="0"/>
        <w:spacing w:before="120" w:after="0"/>
        <w:jc w:val="left"/>
        <w:rPr>
          <w:rFonts w:ascii="Times New Roman" w:hAnsi="Times New Roman"/>
          <w:sz w:val="20"/>
        </w:rPr>
      </w:pPr>
      <w:r>
        <w:rPr>
          <w:rFonts w:ascii="Times New Roman" w:hAnsi="Times New Roman"/>
          <w:sz w:val="20"/>
        </w:rPr>
        <w:t xml:space="preserve">Any modification or amendment of an indenture, whether effected with or without the consent of any holder, will be documented in a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the terms of a series of debt securities provide otherwise, under the indentures, we may discharge some of our respective obligations to holders of any series of debt securities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not already been delivered to the trustee for cancellation and that either have become due and payable, will become due and payable within one year, or are scheduled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 discharge these obligations when the securities have not already been delivered to the trustee for cancellation by irrevocably depositing with the trustee funds in the currency or currencies in which the debt securities are payable in an amount sufficient to pay and discharge the entire indebtedness on those debt securities, including principal of, and any premium, make-whole amount, interest and additional amounts on, the debt securities on and up to the date of such deposit, or, if the debt securities have become due and payable, on and up to the stated maturity or redemption date, as the case may be (Section 401).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terms of the debt securities of a series permit us to do so, we may elect either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obligations with respect to the debt securities, except certain obligations set forth in Section 1402 (Section 1402);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additional amounts upon the occurrence of several particular tax and other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the fees, expenses and indemnitees of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temporary or mutilated,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 office or agency for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our obligations with respect to the debt securities under sections of the applicable indenture described under “Certain Covenants” or, if permitted by the terms of the debt securities, our obligations with respect to any other covenant.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choose to be released from our respective obligations under the covenants, any failure to comply with any of the obligations imposed on us by the covenants will not constitute a default or an event of default with respect to the debt securities (Section 1403). However, to make either election, we must irrevocably deposit with the trustee an amount, in such currency or currencies in which the debt securities are payable at stated maturity, or in Government Obligations (Section 101), or both, that will provide sufficient funds to pay the principal of, and any premium, make-whole amount, and interest on, the debt securities, and any mandatory sinking fund or similar payments on the debt securities, on the relevant scheduled due dates. </w:t>
      </w:r>
    </w:p>
    <w:p>
      <w:pPr>
        <w:pStyle w:val="TextBody"/>
        <w:bidi w:val="0"/>
        <w:spacing w:before="240" w:after="0"/>
        <w:jc w:val="left"/>
        <w:rPr>
          <w:rFonts w:ascii="Times New Roman" w:hAnsi="Times New Roman"/>
          <w:sz w:val="20"/>
        </w:rPr>
      </w:pPr>
      <w:r>
        <w:rPr>
          <w:rFonts w:ascii="Times New Roman" w:hAnsi="Times New Roman"/>
          <w:sz w:val="20"/>
        </w:rPr>
        <w:t xml:space="preserve">We may defease and discharge the obligations, as described in the preceding paragraphs, only if, among other things, we have delivered to the trustee an opinion of counsel to the effect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debt securities will not recognize income, gain or loss for United States federal income tax purposes as a result of the defeasance or covenant defeasance described in the previous paragraphs and will be subject to United States federal income tax on the same amounts, in the same manner and at the same times as would have been the case if the defeasance or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defeasance, the opinion of counsel must refer to, and be based upon, a ruling of the Internal Revenue Service or a change in applicable United States federal income tax laws occurring after the date of the applicable indenture (Section 1404).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if, after we have deposited funds and/or Government Obligations to effect defeasance or covenant defeasance with respect to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a debt security of the series elects to receive payment in a currency other than that in which the deposit has been made in respect of the debt security (Section 301);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conversion event, as defined below, occurs in respect of the currency in which the deposit has been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the indebtedness represented by the debt security will be fully discharged and satisfied through the payment of the principal of, and any premium, make-whole amount and interest on, the debt security as they become due, and additional amounts, if any, out of the proceeds yielded by converting the amount or other property deposited in respect of the debt security into the currency in which the debt security becomes payable as a result of the holder’s election or the conversion event based on the applicable market exchange rate (Section 1405).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a “conversion event” means the cessation of use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currency (other than a European Currency Unit or other currency unit) issued by the government of one or more countries other than the United States, both by the government of the country that issued that currency and for the settlement of transactions by a central bank or other public institutions of or within the international banking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European Currency Unit, both within the European Monetary System and, for the settlement of transactions, by public institutions of or within the European Communities (Section 101);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currency other than the European Currency Unit for the purposes for which it was established.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we will make all payments of principal of, and any premium, make-whole amount, interest and additional amounts on, any debt security that is payable in a foreign currency that ceases to be used by its government of issuance in United States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we effect covenant defeasance with respect to any debt securities and the debt securities are declared due and payable because of the occurrence of an event of default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 of default described in the fourth bullet under “-Events of Default, Notice and Waiver,” which would no longer be applicable to the debt securities of that series (Section 1005);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 of default described in the eighth bullet under “-Events of Default, Notice and Waiver” with respect to a covenant as to which there has been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the amount on deposit with the trustee will still be sufficient to pay amounts due on the debt securities at the time of their stated maturity but may not be sufficient to pay amounts due on the debt securities at the time of the acceleration resulting from the event of default. In this case, we would remain liable to make payment of the amounts due at the time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describe any additional provisions permitting defeasance or covenant defeasance, including any modifications to the provisions described above, with respect to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on which debt securities of any series may be convertible into or exchangeable for our common stock, preferred stock or other securities or property of us will be described in the applicable prospectus supplement. These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or the manner of calculating the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or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conversion or exchange is mandatory, or voluntary at the option of the holder or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conversion or exchange in the event of redemption of the debt securities and any restrictions on conversion 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means of calculating the number of shares of our common stock, preferred stock or other securities or property of us to be received by the holders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conversion or exchange price of any debt securities of any series that are convertible into our common stock or preferred stock shall be adjusted for any stock dividends, stock splits, reclassification, combinations or similar transactions, as set forth in the applicable prospectus supplement (Article Sixteen).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are governed by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may be subject to optional or mandatory redemption on terms and conditions described in the applicable prospectus supplement. Subject to such terms, we may opt at any time to partially or entirely redeem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notice has been given as provided in the applicable indenture, if funds for the redemption of any debt securities called for redemption shall have been made available on the redemption date, the debt securities will cease to bear interest on the date fixed for the redemption specified in the notice, and the only right of the holders of the debt securities will be to receive payment of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62972_9"/>
      <w:bookmarkEnd w:id="2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generally the terms of warrants that we may offer from time to time in one or more series. The specific terms of a series of warrants will be described in the applicable prospectus supplement relating to that series of warrants along with any general provisions applicable to that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warrants, and any description of the warrants in a prospectus supplement, may not be complete and is subject to, and qualified in its entirety by reference to, the underlying warrant agreement, which we will file with the SEC at or prior to the time of the sale of the warrants. You should refer to, and read this summary together with, the warrant agreement and the applicable prospectus supplement to review the terms of a particular series of our common or preferred stock that may be important to you. You can obtain copies of any form of warrant agreement or other agreement pursuant to which the warrants are issued by following the directions described under the caption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depositary shares, debt securities, shares of our common stock or preferred stock, or any combination of those securities. We may issue warrants independently or together with any other securities, and the warrants may be attached to, or separate from, any other securities. Each series of warrants to be issued will be issued under a separate warrant agreement between us and a warrant agent specified in the related prospectus supplement. The warrant agent will act solely as our agent in connection with the warrants of a series and will not assume any obligation or relationship of agency or trust for or with holders or beneficial owners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securities called for by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or currency units, in which the price of the warrants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including composite currencies or currency units, in which the securities purchasable upon exercise of the warrants may be purchased and provisions for changes to or adjustments in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shall commence and the date on which that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underlying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summary of the United States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certificates may be exchanged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respective underlying securities purchasable upon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62972_10"/>
      <w:bookmarkEnd w:id="21"/>
      <w:r>
        <w:rPr>
          <w:rFonts w:ascii="Times New Roman" w:hAnsi="Times New Roman"/>
          <w:b/>
          <w:sz w:val="20"/>
        </w:rPr>
        <w:t xml:space="preserve">DESCRIPTION OF STOCK PURCHASE CONTRACTS AND STOCK PURCHASE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The stock purchase contracts may provide for settlement by delivery by us or on our behalf of shares of the underlying security, or they may provide for settlement by reference or linkage to the value, performance or trading price of the underlying security. 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w:t>
      </w:r>
    </w:p>
    <w:p>
      <w:pPr>
        <w:pStyle w:val="TextBody"/>
        <w:bidi w:val="0"/>
        <w:spacing w:before="240" w:after="0"/>
        <w:jc w:val="left"/>
        <w:rPr>
          <w:rFonts w:ascii="Times New Roman" w:hAnsi="Times New Roman"/>
          <w:sz w:val="20"/>
        </w:rPr>
      </w:pPr>
      <w:r>
        <w:rPr>
          <w:rFonts w:ascii="Times New Roman" w:hAnsi="Times New Roman"/>
          <w:sz w:val="20"/>
        </w:rPr>
        <w:t xml:space="preserve">An applicable prospectus supplement will describe the terms of the stock purchase contracts, including, if applicable, collateral or depositary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62972_11"/>
      <w:bookmarkEnd w:id="22"/>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register for resale hereunder certain of our securities held by particular selling security holders. In the event we effect such a registration, we will file a prospectus supplement that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and quantity of our securities offered by each selling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such securities held by each selling security holder before and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(if one percent or more) of such class of securities held by each selling security holder before and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position, office or other material relationship that each selling security holder has had with us or any of our predecessors or affiliates within the last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applicable terms of the securities offered by each selling security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 of distribution with respect to securities to be offered by the selling security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62972_12"/>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to one or more underwriters or dealers for public offering and sale by them, or we may sell the securities to investors directly or through agents. The applicable prospectus supplement will set forth the terms of the particular offering and the method of distribution and will identify any firms acting as underwriters, dealers or agents in connection with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amounts underwritten;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material relationship between us and any underwriter;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the obligation of the underwriter(s) to take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and the net proceeds we will receive from such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distribute our securities from time to time in one or more transactions at a fixed price or prices, which may be changed, or at prices determined as the prospectus supplement specifies, including in “at-the-market” offerings. We may sell our securities through a rights offering, forward contracts or similar arrangements.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discounts or other compensation which we pay to underwriters or agents in connection with the offering of our securities, and any discounts, concessions or commissions which underwriters allow to dealers, will be set forth in the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sold pursuant to this prospectus and applicable prospectus supplement will be approved for trading, upon notice of issuance,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their controlling persons, dealers and agents may be entitled, under agreements entered into with us,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being offered under this prospectus, other than our common stock, will be new issues of securities with no established trading market unless otherwise specified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has not presently been established whether the underwriters, if any, as identified in a prospectus supplement, will make a market in the securities. If the underwriters make a market in the securities, the market making may be discontinued at any time without notice. We cannot provide any assurance as to the liquidity of the trading market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may be customers of, engage in transactions with, and perform services for, us and our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62972_13"/>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and any supplement hereto, as well as certain tax matters, will be passed upon for us by Holland &amp; Knight LLP, 701 Brickell Avenue, Miami, Florida 33131. Counsel for any underwriter or agents will be noted in the applicable prospectus supplement. </w:t>
      </w:r>
    </w:p>
    <w:p>
      <w:pPr>
        <w:pStyle w:val="TextBody"/>
        <w:bidi w:val="0"/>
        <w:spacing w:before="480" w:after="0"/>
        <w:jc w:val="center"/>
        <w:rPr>
          <w:rFonts w:ascii="Times New Roman" w:hAnsi="Times New Roman"/>
          <w:b/>
          <w:sz w:val="20"/>
        </w:rPr>
      </w:pPr>
      <w:bookmarkStart w:id="25" w:name="tx162972_14"/>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as of December 31, 2024 and for the year ended December 31, 2024 and management’s assessment of the effectiveness of internal control over financial reporting (which is included in Management’s Report on Internal Control over Financial Reporting) as of December 31, 2024 incorporated in this Prospectus by reference to the Annual Report on Form 10-K for the year ended December 31, 2024 have been so incorporated in reliance on the report (which contains a paragraph relating to the effectiveness of internal control over financial reporting due to the exclusion of two entities (related to a July acquisition in the Power Delivery segment and a December acquisition in the Pipeline Infrastructure segment) because they were acquired by the Company in purchase business combinations during 2024)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except IEA Energy Services, LLC (“IEA LLC”) (IEA LLC is a wholly-owned subsidiary of MasTec, Inc.), as of December 31, 2023 and for each of the two years in the period ended December 31, 2023 incorporated in this Prospectus by reference to the Annual Report on Form 10-K for the year ended December 31, 2024, have been so incorporated in reliance on the report of BDO USA, P.C.,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IEA LLC as of December 31, 2023 and for the year ended December 31, 2023 (consolidated with those of MasTec, Inc., but not presented separately or incorporated by reference herein) have been audited by Deloitte &amp; Touche LLP, an independent registered public accounting firm, as stated in its report incorporated by reference in this Prospectus by reference to the Annual Report on Form 10-K for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62972_15"/>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The SEC maintains an internet site that contains reports, proxy and information statements, and other information that we file electronically with the SEC and which are available at the SEC’s website at: http://www.sec.gov. In addition, our SEC filings and other information about our company are available on our internet website: www.mastec.com. Please note that our internet address is included in this prospectus as an inactive textual reference and the information included on our website is not incorporated by reference into this prospectus and should not be considered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The registration statement contains more information than this prospectus regarding us and our common stock, including certain exhibits. You can obtain a copy of the registration statement from the SEC’s website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62972_16"/>
      <w:bookmarkEnd w:id="27"/>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some of the documents we file with it into this prospectus,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disclose important information to you by referring you to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incorporated by reference is considered to be part of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later information that we file with the SEC will automatically update and supersede this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5">
              <w:r>
                <w:rPr>
                  <w:rStyle w:val="InternetLink"/>
                  <w:rFonts w:ascii="Times New Roman" w:hAnsi="Times New Roman"/>
                  <w:sz w:val="20"/>
                </w:rPr>
                <w:t>Form 8-A</w:t>
              </w:r>
            </w:hyperlink>
            <w:r>
              <w:rPr>
                <w:rFonts w:ascii="Times New Roman" w:hAnsi="Times New Roman"/>
                <w:sz w:val="20"/>
              </w:rPr>
              <w:t xml:space="preserve"> filed with the SEC on February 10, 1997 (File No. 001-08106) and any amendments to such Registration Statement filed subsequently thereto,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and any other information that is identified as “furnished” rather than filed, which information is not incorporated by reference herein) prior to the termination of the offering, will be deemed to be incorporated herein by reference and to be a part of this registration statement from the date of filing of such documents. Any statement contained in a document incorporated herein by reference will be deemed to be modified or superseded for purposes of this registration statement to the extent that a statement contained herein, or in a subsequently filed document incorporated herein by reference, modifies or supersedes the statement. Any statement modified or superseded will not be deemed, except as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information that has been incorporated by reference in this prospectus but not delivered with this prospectus (excluding exhibits unless specifically incorporated by reference into those documents). Please direct requests to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 xml:space="preserve">800 S. Douglas Road, 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Coral Gables, Florida 33134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Alberto de Cardenas </w:t>
      </w:r>
    </w:p>
    <w:p>
      <w:pPr>
        <w:pStyle w:val="TextBody"/>
        <w:bidi w:val="0"/>
        <w:spacing w:before="0" w:after="0"/>
        <w:jc w:val="center"/>
        <w:rPr>
          <w:rFonts w:ascii="Times New Roman" w:hAnsi="Times New Roman"/>
          <w:b/>
          <w:sz w:val="20"/>
        </w:rPr>
      </w:pPr>
      <w:r>
        <w:rPr>
          <w:rFonts w:ascii="Times New Roman" w:hAnsi="Times New Roman"/>
          <w:b/>
          <w:sz w:val="20"/>
        </w:rPr>
        <w:t>(305) 599-1800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1,219,498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31975" cy="3390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831975" cy="339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800" w:after="0"/>
        <w:jc w:val="center"/>
        <w:rPr>
          <w:rFonts w:ascii="Times New Roman" w:hAnsi="Times New Roman"/>
          <w:b/>
          <w:sz w:val="20"/>
        </w:rPr>
      </w:pPr>
      <w:r>
        <w:rPr>
          <w:rFonts w:ascii="Times New Roman" w:hAnsi="Times New Roman"/>
          <w:b/>
          <w:sz w:val="20"/>
        </w:rPr>
        <w:t xml:space="preserve">July 31,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8" w:name="d162972dexfilingfees.htm"/>
      <w:bookmarkStart w:id="29" w:name="ksd162972dexfilingfees"/>
      <w:bookmarkStart w:id="30" w:name="d162972dexfilingfees.htm"/>
      <w:bookmarkStart w:id="31" w:name="ksd162972dexfilingfees"/>
      <w:bookmarkEnd w:id="30"/>
      <w:bookmarkEnd w:id="31"/>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MASTEC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1,219,498 </w:t>
            </w:r>
          </w:p>
        </w:tc>
        <w:tc>
          <w:tcPr>
            <w:tcW w:w="1156" w:type="dxa"/>
            <w:tcBorders/>
            <w:shd w:fill="E7E7E2" w:val="clear"/>
            <w:vAlign w:val="center"/>
          </w:tcPr>
          <w:p>
            <w:pPr>
              <w:pStyle w:val="TableContents"/>
              <w:bidi w:val="0"/>
              <w:spacing w:before="0" w:after="283"/>
              <w:jc w:val="right"/>
              <w:rPr/>
            </w:pPr>
            <w:r>
              <w:rPr/>
              <w:t xml:space="preserve">$ 315.775 </w:t>
            </w:r>
          </w:p>
        </w:tc>
        <w:tc>
          <w:tcPr>
            <w:tcW w:w="1786" w:type="dxa"/>
            <w:tcBorders/>
            <w:shd w:fill="E7E7E2" w:val="clear"/>
            <w:vAlign w:val="center"/>
          </w:tcPr>
          <w:p>
            <w:pPr>
              <w:pStyle w:val="TableContents"/>
              <w:bidi w:val="0"/>
              <w:spacing w:before="0" w:after="283"/>
              <w:jc w:val="right"/>
              <w:rPr/>
            </w:pPr>
            <w:r>
              <w:rPr/>
              <w:t xml:space="preserve">$ 385,086,980.95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$ 53,180.51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$ 385,086,980.95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$ 53,180.51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$ 53,180.51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4"/>
        <w:gridCol w:w="8707"/>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(1) Calculated pursuant to Rules 456(b), 457(c) and 457(r) of the Securities Act of 1933, as amended, or the Securities Act, by multiplying the proposed maximum aggregate offering price of securities to be registered by 0.00013810. (2) Consists of 1,219,498 shares of common stock registered for resale by the selling shareholders named in this prospectus supplement. (3) Estimated solely for purposes of calculating the registration fee in accordance with Rules 457(c) and 457(r) of the Securities Act, and based upon the average of the high and low sales price of a share of the Registrant's common stock as reported by the New York Stock Exchange on July 28,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$385,086,980.95.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5615/000001561525000021/mtz-20241231.htm" TargetMode="External"/><Relationship Id="rId5" Type="http://schemas.openxmlformats.org/officeDocument/2006/relationships/hyperlink" Target="http://www.sec.gov/Archives/edgar/data/15615/0000950170-97-000109.txt" TargetMode="External"/><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23786</Words>
  <Characters>126431</Characters>
  <CharactersWithSpaces>150824</CharactersWithSpaces>
  <Paragraphs>1923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