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C Robert</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MASTEC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MTZ</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09/11/2025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4145 PINTA COURT</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5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CORAL</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33146</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GABLES</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35,277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47 separate transactions, each with a price of $190.39. The reporting person undertakes to provide the Issuer, any security holder of the Issuer or the staff of the Securities and Exchange Commission upon request, full information regarding the number of shares sold in each transaction.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Alberto de Cardenas For:</w:t>
      </w:r>
      <w:r>
        <w:rPr>
          <w:sz w:val="20"/>
          <w:szCs w:val="20"/>
          <w:color w:val="auto"/>
        </w:rPr>
        <w:tab/>
      </w:r>
      <w:r>
        <w:rPr>
          <w:rFonts w:ascii="Times New Roman" w:cs="Times New Roman" w:eastAsia="Times New Roman" w:hAnsi="Times New Roman"/>
          <w:sz w:val="26"/>
          <w:szCs w:val="26"/>
          <w:color w:val="0000FF"/>
          <w:vertAlign w:val="subscript"/>
        </w:rPr>
        <w:t>09/16/2025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Robert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4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261" TargetMode="External"/><Relationship Id="rId14" Type="http://schemas.openxmlformats.org/officeDocument/2006/relationships/hyperlink" Target="http://www.sec.gov/cgi-bin/browse-edgar?action=getcompany&amp;CIK=0000015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2025-09-16T16:01:36Z</dcterms:created>
  <dcterms:modified xsi:type="dcterms:W3CDTF">2025-09-16T16:01:36Z</dcterms:modified>
</cp:coreProperties>
</file>