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5744d8k.htm"/>
      <w:bookmarkStart w:id="1" w:name="ksd16574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MASTEC,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Florida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001-08106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65-0829355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800 S. Douglas Road, 12th Floor</w:t>
      </w:r>
    </w:p>
    <w:p>
      <w:pPr>
        <w:pStyle w:val="TextBody"/>
        <w:bidi w:val="0"/>
        <w:spacing w:before="0" w:after="0"/>
        <w:jc w:val="center"/>
        <w:rPr>
          <w:rFonts w:ascii="Times New Roman" w:hAnsi="Times New Roman"/>
          <w:b/>
          <w:sz w:val="20"/>
        </w:rPr>
      </w:pPr>
      <w:r>
        <w:rPr>
          <w:rFonts w:ascii="Times New Roman" w:hAnsi="Times New Roman"/>
          <w:b/>
          <w:sz w:val="20"/>
        </w:rPr>
        <w:t>Coral Gables, Florida 33134</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(305) 599-1800</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75" w:type="dxa"/>
        <w:jc w:val="left"/>
        <w:tblInd w:w="0" w:type="dxa"/>
        <w:tblLayout w:type="fixed"/>
        <w:tblCellMar>
          <w:top w:w="0" w:type="dxa"/>
          <w:left w:w="0" w:type="dxa"/>
          <w:bottom w:w="0" w:type="dxa"/>
          <w:right w:w="0" w:type="dxa"/>
        </w:tblCellMar>
      </w:tblPr>
      <w:tblGrid>
        <w:gridCol w:w="3185"/>
        <w:gridCol w:w="60"/>
        <w:gridCol w:w="710"/>
        <w:gridCol w:w="60"/>
        <w:gridCol w:w="2660"/>
      </w:tblGrid>
      <w:tr>
        <w:trPr/>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85" w:type="dxa"/>
            <w:tcBorders/>
            <w:vAlign w:val="center"/>
          </w:tcPr>
          <w:p>
            <w:pPr>
              <w:pStyle w:val="TableContents"/>
              <w:bidi w:val="0"/>
              <w:spacing w:before="0" w:after="283"/>
              <w:jc w:val="center"/>
              <w:rPr/>
            </w:pPr>
            <w:r>
              <w:rPr/>
              <w:t>Common Stock, $0.10 Par Value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MTZ</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6, 2026, MasTec, Inc., a Florida corporation (the “Company”), entered into an Underwriting Agreement (the “Underwriting Agreement”) with PNC Capital Markets LLC, Truist Securities, Inc. and Wells Fargo Securities, LLC, as representatives of the underwriters named therein (the “Underwriters”), pursuant to which the Company agreed to issue and sell to the Underwriters $650,000,000 aggregate principal amount of 5.850% Senior Notes due 2036 (the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pay interest semi-annually at a rate of 5.850% and will mature on September 30, 2036. The Notes were priced at 99.656%. The Company expects to close the Notes offering on August 17, 2026, subject to customary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use the net proceeds from the offering to repay some or all of its $600 million term loan under its term loan agreement that matures on June 26, 2028 and to pay related fees and expenses. The Company intends to use any remaining net proceeds thereafter for general corporate purposes, which may include the repayment of existing indebtedness, including borrowings under MasTec’s senior unsecured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and agreements of the Company, conditions to closing, indemnification rights and obligations of the parties and termination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registered the Notes under the Securities Act of 1933, as amended, pursuant to a shelf registration statement on Form S-3 filed by the Company on February 28, 2025 (File No. 333-285425). The foregoing description of the Underwriting Agreement is only a summary and is qualified in its entirety by reference to the full text of the Underwriting Agreement, which is filed as Exhibit 1.1 to this Current Report on Form 8-K and incorporated by reference in this Item 1.01.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does not constitute an offer to sell nor a solicitation of an offer to buy any security and shall not constitute an offer, solicitation or sale in any jurisdiction in which such offer, solicitation or sale would be unlawful.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6, 2026, the Company issued a press release announcing the pricing of the Notes offering. Such press release is attached hereto as Exhibit 99.1 and incorporated herein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Exhibits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center"/>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65744dex11.htm">
              <w:r>
                <w:rPr>
                  <w:rStyle w:val="InternetLink"/>
                </w:rPr>
                <w:t xml:space="preserve">Underwriting Agreement, dated August 6, 2026, by and among the Company and PNC Capital Markets LLC, Truist Securities, Inc. and Wells Fargo Securities, LLC, as representatives of the underwriters named therein.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65744dex991.htm">
              <w:r>
                <w:rPr>
                  <w:rStyle w:val="InternetLink"/>
                </w:rPr>
                <w:t xml:space="preserve">Press release, dated August 6,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528" w:type="dxa"/>
        <w:jc w:val="left"/>
        <w:tblInd w:w="0" w:type="dxa"/>
        <w:tblLayout w:type="fixed"/>
        <w:tblCellMar>
          <w:top w:w="0" w:type="dxa"/>
          <w:left w:w="0" w:type="dxa"/>
          <w:bottom w:w="0" w:type="dxa"/>
          <w:right w:w="0" w:type="dxa"/>
        </w:tblCellMar>
      </w:tblPr>
      <w:tblGrid>
        <w:gridCol w:w="2195"/>
        <w:gridCol w:w="60"/>
        <w:gridCol w:w="23"/>
        <w:gridCol w:w="60"/>
        <w:gridCol w:w="650"/>
        <w:gridCol w:w="60"/>
        <w:gridCol w:w="548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90" w:type="dxa"/>
            <w:gridSpan w:val="3"/>
            <w:tcBorders/>
            <w:vAlign w:val="center"/>
          </w:tcPr>
          <w:p>
            <w:pPr>
              <w:pStyle w:val="TableContents"/>
              <w:bidi w:val="0"/>
              <w:spacing w:before="0" w:after="283"/>
              <w:jc w:val="left"/>
              <w:rPr>
                <w:b/>
              </w:rPr>
            </w:pPr>
            <w:r>
              <w:rPr>
                <w:b/>
              </w:rPr>
              <w:t>MASTEC,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54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Alberto de Cardenas</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Alberto de Cardenas</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Executive Vice President, General Counsel and Secretary</w:t>
            </w:r>
          </w:p>
        </w:tc>
      </w:tr>
    </w:tbl>
    <w:p>
      <w:pPr>
        <w:pStyle w:val="TextBody"/>
        <w:bidi w:val="0"/>
        <w:spacing w:before="0" w:after="0"/>
        <w:jc w:val="right"/>
        <w:rPr>
          <w:rFonts w:ascii="Times New Roman" w:hAnsi="Times New Roman"/>
          <w:b/>
          <w:sz w:val="20"/>
        </w:rPr>
      </w:pPr>
      <w:bookmarkStart w:id="2" w:name="d165744dex11.htm"/>
      <w:bookmarkStart w:id="3" w:name="ksd165744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$650,000,000 </w:t>
      </w:r>
    </w:p>
    <w:p>
      <w:pPr>
        <w:pStyle w:val="TextBody"/>
        <w:bidi w:val="0"/>
        <w:spacing w:before="120" w:after="0"/>
        <w:jc w:val="center"/>
        <w:rPr>
          <w:rFonts w:ascii="Times New Roman" w:hAnsi="Times New Roman"/>
          <w:b/>
          <w:sz w:val="20"/>
        </w:rPr>
      </w:pPr>
      <w:r>
        <w:rPr>
          <w:rFonts w:ascii="Times New Roman" w:hAnsi="Times New Roman"/>
          <w:b/>
          <w:sz w:val="20"/>
        </w:rPr>
        <w:t xml:space="preserve">MasTec, Inc. </w:t>
      </w:r>
    </w:p>
    <w:p>
      <w:pPr>
        <w:pStyle w:val="TextBody"/>
        <w:bidi w:val="0"/>
        <w:spacing w:before="120" w:after="0"/>
        <w:jc w:val="center"/>
        <w:rPr>
          <w:rFonts w:ascii="Times New Roman" w:hAnsi="Times New Roman"/>
          <w:b/>
          <w:sz w:val="20"/>
        </w:rPr>
      </w:pPr>
      <w:r>
        <w:rPr>
          <w:rFonts w:ascii="Times New Roman" w:hAnsi="Times New Roman"/>
          <w:b/>
          <w:sz w:val="20"/>
        </w:rPr>
        <w:t xml:space="preserve">5.850% Senior Notes due 2036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6, 2026 </w:t>
      </w:r>
    </w:p>
    <w:p>
      <w:pPr>
        <w:pStyle w:val="TextBody"/>
        <w:bidi w:val="0"/>
        <w:spacing w:before="240" w:after="0"/>
        <w:jc w:val="left"/>
        <w:rPr>
          <w:rFonts w:ascii="Times New Roman" w:hAnsi="Times New Roman"/>
          <w:sz w:val="20"/>
        </w:rPr>
      </w:pPr>
      <w:r>
        <w:rPr>
          <w:rFonts w:ascii="Times New Roman" w:hAnsi="Times New Roman"/>
          <w:sz w:val="20"/>
        </w:rPr>
        <w:t xml:space="preserve">PNC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TRUIST SECURITIES, INC. </w:t>
      </w:r>
    </w:p>
    <w:p>
      <w:pPr>
        <w:pStyle w:val="TextBody"/>
        <w:bidi w:val="0"/>
        <w:spacing w:before="0" w:after="0"/>
        <w:jc w:val="left"/>
        <w:rPr>
          <w:rFonts w:ascii="Times New Roman" w:hAnsi="Times New Roman"/>
          <w:sz w:val="20"/>
        </w:rPr>
      </w:pPr>
      <w:r>
        <w:rPr>
          <w:rFonts w:ascii="Times New Roman" w:hAnsi="Times New Roman"/>
          <w:sz w:val="20"/>
        </w:rPr>
        <w:t xml:space="preserve">WELLS FARGO SECURITIES,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0" w:after="0"/>
        <w:jc w:val="left"/>
        <w:rPr>
          <w:rFonts w:ascii="Times New Roman" w:hAnsi="Times New Roman"/>
          <w:sz w:val="20"/>
        </w:rPr>
      </w:pPr>
      <w:r>
        <w:rPr>
          <w:rFonts w:ascii="Times New Roman" w:hAnsi="Times New Roman"/>
          <w:sz w:val="20"/>
        </w:rPr>
        <w:t xml:space="preserve">named in Schedule I hereto </w:t>
      </w:r>
    </w:p>
    <w:p>
      <w:pPr>
        <w:pStyle w:val="TextBody"/>
        <w:bidi w:val="0"/>
        <w:spacing w:before="240" w:after="0"/>
        <w:jc w:val="left"/>
        <w:rPr>
          <w:rFonts w:ascii="Times New Roman" w:hAnsi="Times New Roman"/>
          <w:sz w:val="20"/>
        </w:rPr>
      </w:pPr>
      <w:r>
        <w:rPr>
          <w:rFonts w:ascii="Times New Roman" w:hAnsi="Times New Roman"/>
          <w:sz w:val="20"/>
        </w:rPr>
        <w:t xml:space="preserve">c/o PNC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300 Fifth Avenue, 10th Floor </w:t>
      </w:r>
    </w:p>
    <w:p>
      <w:pPr>
        <w:pStyle w:val="TextBody"/>
        <w:bidi w:val="0"/>
        <w:spacing w:before="0" w:after="0"/>
        <w:jc w:val="left"/>
        <w:rPr>
          <w:rFonts w:ascii="Times New Roman" w:hAnsi="Times New Roman"/>
          <w:sz w:val="20"/>
        </w:rPr>
      </w:pPr>
      <w:r>
        <w:rPr>
          <w:rFonts w:ascii="Times New Roman" w:hAnsi="Times New Roman"/>
          <w:sz w:val="20"/>
        </w:rPr>
        <w:t xml:space="preserve">Pittsburgh, Pennsylvania 15222 </w:t>
      </w:r>
    </w:p>
    <w:p>
      <w:pPr>
        <w:pStyle w:val="TextBody"/>
        <w:bidi w:val="0"/>
        <w:spacing w:before="240" w:after="0"/>
        <w:jc w:val="left"/>
        <w:rPr>
          <w:rFonts w:ascii="Times New Roman" w:hAnsi="Times New Roman"/>
          <w:sz w:val="20"/>
        </w:rPr>
      </w:pPr>
      <w:r>
        <w:rPr>
          <w:rFonts w:ascii="Times New Roman" w:hAnsi="Times New Roman"/>
          <w:sz w:val="20"/>
        </w:rPr>
        <w:t xml:space="preserve">c/o Truist Securities, Inc. </w:t>
      </w:r>
    </w:p>
    <w:p>
      <w:pPr>
        <w:pStyle w:val="TextBody"/>
        <w:bidi w:val="0"/>
        <w:spacing w:before="0" w:after="0"/>
        <w:jc w:val="left"/>
        <w:rPr>
          <w:rFonts w:ascii="Times New Roman" w:hAnsi="Times New Roman"/>
          <w:sz w:val="20"/>
        </w:rPr>
      </w:pPr>
      <w:r>
        <w:rPr>
          <w:rFonts w:ascii="Times New Roman" w:hAnsi="Times New Roman"/>
          <w:sz w:val="20"/>
        </w:rPr>
        <w:t xml:space="preserve">50 Hudson Yards, 70th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10001 </w:t>
      </w:r>
    </w:p>
    <w:p>
      <w:pPr>
        <w:pStyle w:val="TextBody"/>
        <w:bidi w:val="0"/>
        <w:spacing w:before="240" w:after="0"/>
        <w:jc w:val="left"/>
        <w:rPr>
          <w:rFonts w:ascii="Times New Roman" w:hAnsi="Times New Roman"/>
          <w:sz w:val="20"/>
        </w:rPr>
      </w:pPr>
      <w:r>
        <w:rPr>
          <w:rFonts w:ascii="Times New Roman" w:hAnsi="Times New Roman"/>
          <w:sz w:val="20"/>
        </w:rPr>
        <w:t xml:space="preserve">c/o Wells Fargo Securities, LLC </w:t>
      </w:r>
    </w:p>
    <w:p>
      <w:pPr>
        <w:pStyle w:val="TextBody"/>
        <w:bidi w:val="0"/>
        <w:spacing w:before="0" w:after="0"/>
        <w:jc w:val="left"/>
        <w:rPr>
          <w:rFonts w:ascii="Times New Roman" w:hAnsi="Times New Roman"/>
          <w:sz w:val="20"/>
        </w:rPr>
      </w:pPr>
      <w:r>
        <w:rPr>
          <w:rFonts w:ascii="Times New Roman" w:hAnsi="Times New Roman"/>
          <w:sz w:val="20"/>
        </w:rPr>
        <w:t xml:space="preserve">550 South Tryon Street, 5th Floor </w:t>
      </w:r>
    </w:p>
    <w:p>
      <w:pPr>
        <w:pStyle w:val="TextBody"/>
        <w:bidi w:val="0"/>
        <w:spacing w:before="0" w:after="0"/>
        <w:jc w:val="left"/>
        <w:rPr>
          <w:rFonts w:ascii="Times New Roman" w:hAnsi="Times New Roman"/>
          <w:sz w:val="20"/>
        </w:rPr>
      </w:pPr>
      <w:r>
        <w:rPr>
          <w:rFonts w:ascii="Times New Roman" w:hAnsi="Times New Roman"/>
          <w:sz w:val="20"/>
        </w:rPr>
        <w:t xml:space="preserve">Charlotte, North Carolina 28202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MasTec, Inc., a Florida corporation (the “</w:t>
      </w:r>
      <w:r>
        <w:rPr>
          <w:rFonts w:ascii="Times New Roman" w:hAnsi="Times New Roman"/>
          <w:b/>
          <w:sz w:val="20"/>
        </w:rPr>
        <w:t>Company</w:t>
      </w:r>
      <w:r>
        <w:rPr>
          <w:rFonts w:ascii="Times New Roman" w:hAnsi="Times New Roman"/>
          <w:sz w:val="20"/>
        </w:rPr>
        <w:t>”), proposes to issue and sell $650,000,000 aggregate principal amount of its 5.850% Senior Notes due 2036 (the “</w:t>
      </w:r>
      <w:r>
        <w:rPr>
          <w:rFonts w:ascii="Times New Roman" w:hAnsi="Times New Roman"/>
          <w:b/>
          <w:sz w:val="20"/>
        </w:rPr>
        <w:t>Notes</w:t>
      </w:r>
      <w:r>
        <w:rPr>
          <w:rFonts w:ascii="Times New Roman" w:hAnsi="Times New Roman"/>
          <w:sz w:val="20"/>
        </w:rPr>
        <w:t>”) to the several underwriters named on Schedule I hereto (the “</w:t>
      </w:r>
      <w:r>
        <w:rPr>
          <w:rFonts w:ascii="Times New Roman" w:hAnsi="Times New Roman"/>
          <w:b/>
          <w:sz w:val="20"/>
        </w:rPr>
        <w:t>Underwriters</w:t>
      </w:r>
      <w:r>
        <w:rPr>
          <w:rFonts w:ascii="Times New Roman" w:hAnsi="Times New Roman"/>
          <w:sz w:val="20"/>
        </w:rPr>
        <w:t>”), for which PNC Capital Markets LLC, Truist Securities, Inc. and Wells Fargo Securities, LLC are acting as representatives (the “</w:t>
      </w:r>
      <w:r>
        <w:rPr>
          <w:rFonts w:ascii="Times New Roman" w:hAnsi="Times New Roman"/>
          <w:b/>
          <w:sz w:val="20"/>
        </w:rPr>
        <w:t>Representatives</w:t>
      </w:r>
      <w:r>
        <w:rPr>
          <w:rFonts w:ascii="Times New Roman" w:hAnsi="Times New Roman"/>
          <w:sz w:val="20"/>
        </w:rPr>
        <w:t>” and each, a “</w:t>
      </w:r>
      <w:r>
        <w:rPr>
          <w:rFonts w:ascii="Times New Roman" w:hAnsi="Times New Roman"/>
          <w:b/>
          <w:sz w:val="20"/>
        </w:rPr>
        <w:t>Representative</w:t>
      </w:r>
      <w:r>
        <w:rPr>
          <w:rFonts w:ascii="Times New Roman" w:hAnsi="Times New Roman"/>
          <w:sz w:val="20"/>
        </w:rPr>
        <w:t>”). The Notes will be issued pursuant to an Indenture dated as of June 5, 2009 (the “</w:t>
      </w:r>
      <w:r>
        <w:rPr>
          <w:rFonts w:ascii="Times New Roman" w:hAnsi="Times New Roman"/>
          <w:b/>
          <w:sz w:val="20"/>
        </w:rPr>
        <w:t>Base Indenture</w:t>
      </w:r>
      <w:r>
        <w:rPr>
          <w:rFonts w:ascii="Times New Roman" w:hAnsi="Times New Roman"/>
          <w:sz w:val="20"/>
        </w:rPr>
        <w:t>”) among the Company, the guarantors party thereto and U.S. Bank Trust Company, National Association, as successor in interest to U.S. Bank National Association, as Trustee (the “</w:t>
      </w:r>
      <w:r>
        <w:rPr>
          <w:rFonts w:ascii="Times New Roman" w:hAnsi="Times New Roman"/>
          <w:b/>
          <w:sz w:val="20"/>
        </w:rPr>
        <w:t>Trustee</w:t>
      </w:r>
      <w:r>
        <w:rPr>
          <w:rFonts w:ascii="Times New Roman" w:hAnsi="Times New Roman"/>
          <w:sz w:val="20"/>
        </w:rPr>
        <w:t>”) and a Supplemental Indenture to be dated as of August 17, 2026 (the “</w:t>
      </w:r>
      <w:r>
        <w:rPr>
          <w:rFonts w:ascii="Times New Roman" w:hAnsi="Times New Roman"/>
          <w:b/>
          <w:sz w:val="20"/>
        </w:rPr>
        <w:t>Supplemental Indenture</w:t>
      </w:r>
      <w:r>
        <w:rPr>
          <w:rFonts w:ascii="Times New Roman" w:hAnsi="Times New Roman"/>
          <w:sz w:val="20"/>
        </w:rPr>
        <w:t>,” and together with the Base Indenture, the “</w:t>
      </w:r>
      <w:r>
        <w:rPr>
          <w:rFonts w:ascii="Times New Roman" w:hAnsi="Times New Roman"/>
          <w:b/>
          <w:sz w:val="20"/>
        </w:rPr>
        <w:t>Indenture</w:t>
      </w:r>
      <w:r>
        <w:rPr>
          <w:rFonts w:ascii="Times New Roman" w:hAnsi="Times New Roman"/>
          <w:sz w:val="20"/>
        </w:rPr>
        <w:t>”) between the Company and the Trustee. This agreement (this “</w:t>
      </w:r>
      <w:r>
        <w:rPr>
          <w:rFonts w:ascii="Times New Roman" w:hAnsi="Times New Roman"/>
          <w:b/>
          <w:sz w:val="20"/>
        </w:rPr>
        <w:t>Agreement</w:t>
      </w:r>
      <w:r>
        <w:rPr>
          <w:rFonts w:ascii="Times New Roman" w:hAnsi="Times New Roman"/>
          <w:sz w:val="20"/>
        </w:rPr>
        <w:t xml:space="preserve">”) is to confirm the agreement concerning the purchase of the Notes from the Company by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Representations, Warranties and Agreements of the Company</w:t>
      </w:r>
      <w:r>
        <w:rPr>
          <w:rFonts w:ascii="Times New Roman" w:hAnsi="Times New Roman"/>
          <w:sz w:val="20"/>
        </w:rPr>
        <w:t xml:space="preserve">. The Company represents and warrants to,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(a) An “automatic shelf registration statement” (as defined in Rule 405 under the Securities Act of 1933, as amended (the “</w:t>
      </w:r>
      <w:r>
        <w:rPr>
          <w:rFonts w:ascii="Times New Roman" w:hAnsi="Times New Roman"/>
          <w:b/>
          <w:sz w:val="20"/>
        </w:rPr>
        <w:t>Securities Act</w:t>
      </w:r>
      <w:r>
        <w:rPr>
          <w:rFonts w:ascii="Times New Roman" w:hAnsi="Times New Roman"/>
          <w:sz w:val="20"/>
        </w:rPr>
        <w:t>”)) on Form S-3 in respect of the Notes (File No. 333-285425) (i) has been prepared by the Company in conformity with the requirements of the Securities Act, and the rules and regulations (the “</w:t>
      </w:r>
      <w:r>
        <w:rPr>
          <w:rFonts w:ascii="Times New Roman" w:hAnsi="Times New Roman"/>
          <w:b/>
          <w:sz w:val="20"/>
        </w:rPr>
        <w:t>Rules and Regulations</w:t>
      </w:r>
      <w:r>
        <w:rPr>
          <w:rFonts w:ascii="Times New Roman" w:hAnsi="Times New Roman"/>
          <w:sz w:val="20"/>
        </w:rPr>
        <w:t>”) of the Securities and Exchange Commission (the “</w:t>
      </w:r>
      <w:r>
        <w:rPr>
          <w:rFonts w:ascii="Times New Roman" w:hAnsi="Times New Roman"/>
          <w:b/>
          <w:sz w:val="20"/>
        </w:rPr>
        <w:t>Commission</w:t>
      </w:r>
      <w:r>
        <w:rPr>
          <w:rFonts w:ascii="Times New Roman" w:hAnsi="Times New Roman"/>
          <w:sz w:val="20"/>
        </w:rPr>
        <w:t xml:space="preserve">”) thereunder, (ii) has been filed with the Commission under the Securities Act not earlier than the date that is three years prior to the Closing Date (as defined in Section 3 hereof) and (iii) upon its filing with the Commission, automatically became and is effective under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Act. Copies of such registration statement and any amendment thereto (excluding exhibits to such registration statement but including all documents incorporated by reference in each prospectus contained therein) have been delivered by the Company to the Representatives; and no other document with respect to such registration statement or any such document incorporated by reference therein has heretofore been filed or transmitted for filing with the Commission. For purposes of this Agreement, the following terms have the specified meanings: </w:t>
      </w:r>
    </w:p>
    <w:p>
      <w:pPr>
        <w:pStyle w:val="TextBody"/>
        <w:bidi w:val="0"/>
        <w:spacing w:before="120" w:after="0"/>
        <w:jc w:val="left"/>
        <w:rPr/>
      </w:pPr>
      <w:r>
        <w:rPr/>
        <w:t>“</w:t>
      </w:r>
      <w:r>
        <w:rPr>
          <w:rFonts w:ascii="Times New Roman" w:hAnsi="Times New Roman"/>
          <w:b/>
          <w:sz w:val="20"/>
        </w:rPr>
        <w:t>Applicable Time</w:t>
      </w:r>
      <w:r>
        <w:rPr>
          <w:rFonts w:ascii="Times New Roman" w:hAnsi="Times New Roman"/>
          <w:sz w:val="20"/>
        </w:rPr>
        <w:t xml:space="preserve">” means 3:30 p.m. (New York City time) on the date of this Agreement; </w:t>
      </w:r>
    </w:p>
    <w:p>
      <w:pPr>
        <w:pStyle w:val="TextBody"/>
        <w:bidi w:val="0"/>
        <w:spacing w:before="240" w:after="0"/>
        <w:jc w:val="left"/>
        <w:rPr/>
      </w:pPr>
      <w:r>
        <w:rPr/>
        <w:t>“</w:t>
      </w:r>
      <w:r>
        <w:rPr>
          <w:rFonts w:ascii="Times New Roman" w:hAnsi="Times New Roman"/>
          <w:b/>
          <w:sz w:val="20"/>
        </w:rPr>
        <w:t>Base Prospectus</w:t>
      </w:r>
      <w:r>
        <w:rPr>
          <w:rFonts w:ascii="Times New Roman" w:hAnsi="Times New Roman"/>
          <w:sz w:val="20"/>
        </w:rPr>
        <w:t xml:space="preserve">” means the base prospectus filed as part of the Registration Statement, in the form in which it has most recently been amended on or prior to the date hereof, relating to the Notes; </w:t>
      </w:r>
    </w:p>
    <w:p>
      <w:pPr>
        <w:pStyle w:val="TextBody"/>
        <w:bidi w:val="0"/>
        <w:spacing w:before="240" w:after="0"/>
        <w:jc w:val="left"/>
        <w:rPr/>
      </w:pPr>
      <w:r>
        <w:rPr/>
        <w:t>“</w:t>
      </w:r>
      <w:r>
        <w:rPr>
          <w:rFonts w:ascii="Times New Roman" w:hAnsi="Times New Roman"/>
          <w:b/>
          <w:sz w:val="20"/>
        </w:rPr>
        <w:t>Disclosure Package</w:t>
      </w:r>
      <w:r>
        <w:rPr>
          <w:rFonts w:ascii="Times New Roman" w:hAnsi="Times New Roman"/>
          <w:sz w:val="20"/>
        </w:rPr>
        <w:t xml:space="preserve">” means, as of the Applicable Time, the most recent Preliminary Prospectus, together with each Issuer Free Writing Prospectus filed or used by the Company on or before the Applicable Time and identified on Schedule II hereto, other than a road show that is an Issuer Free Writing Prospectus under Rule 433 of the Rules and Regulations; </w:t>
      </w:r>
    </w:p>
    <w:p>
      <w:pPr>
        <w:pStyle w:val="TextBody"/>
        <w:bidi w:val="0"/>
        <w:spacing w:before="240" w:after="0"/>
        <w:jc w:val="left"/>
        <w:rPr/>
      </w:pPr>
      <w:r>
        <w:rPr/>
        <w:t>“</w:t>
      </w:r>
      <w:r>
        <w:rPr>
          <w:rFonts w:ascii="Times New Roman" w:hAnsi="Times New Roman"/>
          <w:b/>
          <w:sz w:val="20"/>
        </w:rPr>
        <w:t>Effective Date</w:t>
      </w:r>
      <w:r>
        <w:rPr>
          <w:rFonts w:ascii="Times New Roman" w:hAnsi="Times New Roman"/>
          <w:sz w:val="20"/>
        </w:rPr>
        <w:t xml:space="preserve">” means any date as of which any part of the Registration Statement or any post-effective amendment thereto relating to the Notes became, or is deemed to have become, effective under the Securities Act in accordance with the Rules and Regulations (including pursuant to Rule 430B of the Rules and Regulations); </w:t>
      </w:r>
    </w:p>
    <w:p>
      <w:pPr>
        <w:pStyle w:val="TextBody"/>
        <w:bidi w:val="0"/>
        <w:spacing w:before="240" w:after="0"/>
        <w:jc w:val="left"/>
        <w:rPr/>
      </w:pPr>
      <w:r>
        <w:rPr/>
        <w:t>“</w:t>
      </w:r>
      <w:r>
        <w:rPr>
          <w:rFonts w:ascii="Times New Roman" w:hAnsi="Times New Roman"/>
          <w:b/>
          <w:sz w:val="20"/>
        </w:rPr>
        <w:t>Final Term Sheet</w:t>
      </w:r>
      <w:r>
        <w:rPr>
          <w:rFonts w:ascii="Times New Roman" w:hAnsi="Times New Roman"/>
          <w:sz w:val="20"/>
        </w:rPr>
        <w:t xml:space="preserve">” means the term sheet prepared pursuant to Section 4(a) of this Agreement and substantially in the form attached in Schedule III hereto; </w:t>
      </w:r>
    </w:p>
    <w:p>
      <w:pPr>
        <w:pStyle w:val="TextBody"/>
        <w:bidi w:val="0"/>
        <w:spacing w:before="240" w:after="0"/>
        <w:jc w:val="left"/>
        <w:rPr/>
      </w:pPr>
      <w:r>
        <w:rPr/>
        <w:t>“</w:t>
      </w:r>
      <w:r>
        <w:rPr>
          <w:rFonts w:ascii="Times New Roman" w:hAnsi="Times New Roman"/>
          <w:b/>
          <w:sz w:val="20"/>
        </w:rPr>
        <w:t>Issuer Free Writing Prospectus</w:t>
      </w:r>
      <w:r>
        <w:rPr>
          <w:rFonts w:ascii="Times New Roman" w:hAnsi="Times New Roman"/>
          <w:sz w:val="20"/>
        </w:rPr>
        <w:t xml:space="preserve">” means each “free writing prospectus” (as defined in Rule 405 of the Rules and Regulations) prepared by or on behalf of the Company or used or referred to by the Company in connection with the offering of the Notes, including the Final Term Sheet; </w:t>
      </w:r>
    </w:p>
    <w:p>
      <w:pPr>
        <w:pStyle w:val="TextBody"/>
        <w:bidi w:val="0"/>
        <w:spacing w:before="240" w:after="0"/>
        <w:jc w:val="left"/>
        <w:rPr/>
      </w:pPr>
      <w:r>
        <w:rPr/>
        <w:t>“</w:t>
      </w:r>
      <w:r>
        <w:rPr>
          <w:rFonts w:ascii="Times New Roman" w:hAnsi="Times New Roman"/>
          <w:b/>
          <w:sz w:val="20"/>
        </w:rPr>
        <w:t>Preliminary Prospectus</w:t>
      </w:r>
      <w:r>
        <w:rPr>
          <w:rFonts w:ascii="Times New Roman" w:hAnsi="Times New Roman"/>
          <w:sz w:val="20"/>
        </w:rPr>
        <w:t xml:space="preserve">” means any preliminary prospectus relating to the Notes, including the Base Prospectus and any preliminary prospectus supplement thereto, included in the Registration Statement or as filed with the Commission pursuant to Rule 424(b) of the Rules and Regulations and provided by the Company to the Representatives for use by the Underwriters; </w:t>
      </w:r>
    </w:p>
    <w:p>
      <w:pPr>
        <w:pStyle w:val="TextBody"/>
        <w:bidi w:val="0"/>
        <w:spacing w:before="240" w:after="0"/>
        <w:jc w:val="left"/>
        <w:rPr/>
      </w:pPr>
      <w:r>
        <w:rPr/>
        <w:t>“</w:t>
      </w:r>
      <w:r>
        <w:rPr>
          <w:rFonts w:ascii="Times New Roman" w:hAnsi="Times New Roman"/>
          <w:b/>
          <w:sz w:val="20"/>
        </w:rPr>
        <w:t>Prospectus</w:t>
      </w:r>
      <w:r>
        <w:rPr>
          <w:rFonts w:ascii="Times New Roman" w:hAnsi="Times New Roman"/>
          <w:sz w:val="20"/>
        </w:rPr>
        <w:t xml:space="preserve">” means the final prospectus relating to the Notes, including the Base Prospectus and the final prospectus supplement thereto relating to the Notes, as filed with the Commission pursuant to Rule 424(b) of the Rules and Regulations and provided by the Company to the Representatives for use by the Underwriters; and </w:t>
      </w:r>
    </w:p>
    <w:p>
      <w:pPr>
        <w:pStyle w:val="TextBody"/>
        <w:bidi w:val="0"/>
        <w:spacing w:before="240" w:after="0"/>
        <w:jc w:val="left"/>
        <w:rPr/>
      </w:pPr>
      <w:r>
        <w:rPr/>
        <w:t>“</w:t>
      </w:r>
      <w:r>
        <w:rPr>
          <w:rFonts w:ascii="Times New Roman" w:hAnsi="Times New Roman"/>
          <w:b/>
          <w:sz w:val="20"/>
        </w:rPr>
        <w:t>Registration Statement</w:t>
      </w:r>
      <w:r>
        <w:rPr>
          <w:rFonts w:ascii="Times New Roman" w:hAnsi="Times New Roman"/>
          <w:sz w:val="20"/>
        </w:rPr>
        <w:t xml:space="preserve">” means, collectively, the various parts of the above-referenced registration statement, each as amended as of the Effective Date for such part, including any Preliminary Prospectus or the Prospectus and all exhibits to such registration statement. </w:t>
      </w:r>
    </w:p>
    <w:p>
      <w:pPr>
        <w:pStyle w:val="TextBody"/>
        <w:bidi w:val="0"/>
        <w:spacing w:before="240" w:after="0"/>
        <w:jc w:val="left"/>
        <w:rPr>
          <w:rFonts w:ascii="Times New Roman" w:hAnsi="Times New Roman"/>
          <w:sz w:val="20"/>
        </w:rPr>
      </w:pPr>
      <w:r>
        <w:rPr>
          <w:rFonts w:ascii="Times New Roman" w:hAnsi="Times New Roman"/>
          <w:sz w:val="20"/>
        </w:rPr>
        <w:t>Any reference to the “</w:t>
      </w:r>
      <w:r>
        <w:rPr>
          <w:rFonts w:ascii="Times New Roman" w:hAnsi="Times New Roman"/>
          <w:b/>
          <w:sz w:val="20"/>
        </w:rPr>
        <w:t>most recent Preliminary Prospectus</w:t>
      </w:r>
      <w:r>
        <w:rPr>
          <w:rFonts w:ascii="Times New Roman" w:hAnsi="Times New Roman"/>
          <w:sz w:val="20"/>
        </w:rPr>
        <w:t xml:space="preserve">” will be deemed to refer to the latest Preliminary Prospectus included in the Registration Statement or filed pursuant to Rule 424(b) of the Rules and Regulations prior to or on the date hereof (including, for purposes of this Agreement, any documents incorporated by reference therein prior to or on the date of this Agreement). Any reference to any Preliminary Prospectus or the Prospectus will be deemed to refer to and include any documents incorporated by reference therein pursuant to Form S-3 under the Securities Act as of the date of such Preliminary Prospectus or the Prospectus, as the case may be. Any reference to any amendment or supplement to any Preliminary Prospectus or the Prospectus will be deemed to refer to and include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document filed under the Securities Exchange Act of 1934, as amended (the “</w:t>
      </w:r>
      <w:r>
        <w:rPr>
          <w:rFonts w:ascii="Times New Roman" w:hAnsi="Times New Roman"/>
          <w:b/>
          <w:sz w:val="20"/>
        </w:rPr>
        <w:t>Exchange Act</w:t>
      </w:r>
      <w:r>
        <w:rPr>
          <w:rFonts w:ascii="Times New Roman" w:hAnsi="Times New Roman"/>
          <w:sz w:val="20"/>
        </w:rPr>
        <w:t xml:space="preserve">”), after the date of such Preliminary Prospectus or the Prospectus, as the case may be, and incorporated by reference in such Preliminary Prospectus or the Prospectus, as the case may be; and any reference to any amendment to the Registration Statement will be deemed to include any annual report of the Company on Form 10-K filed with the Commission pursuant to Section 13(a) or 15(d) of the Exchange Act after the Effective Date that is incorporated by reference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(b) The Registration Statement has become effective; no stop order suspending the effectiveness of the Registration Statement is in effect, and no proceedings for such purpose are pending before or threatened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the Registration Statement was filed, the Company was a well-known seasoned issuer (as defined in Rule 405 of the Securities Act) eligible to use the Registration Statement as an automatic shelf registration statement and the Company has not received notice that the Commission objects to the use of the Registration Statement as an automatic shelf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(d)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Issuer Free Writing Prospectus complies or will comply in all material respects with the requirements of the Securities Act and the applicable rules and regulations of the Commission thereunder. Except for the Issuer Free Writing Prospectuses, if any, identified in Schedule II hereto, and electronic road shows, if any, furnished to the Underwriters before first use, the Company has not prepared, used or referred to, and will not, without the Underwriters’ prior consent, prepare, use or refer to, any Issuer Free Writing Prospectus. Any Issuer Free Writing Prospectus, as of its issue date and at all subsequent times through the completion of the public offer and sale of Notes or until any earlier date that the Company notified or notifies the Representatives of any event regarding the Company described in Sections 4(f) and 4(g), did not, does not and will not include any information that conflicted, conflicts or will conflict with the information contained in the Registration Statement, the Disclosure Package or the Prospectus, including any document incorporated by reference therein and any preliminary or other prospectus deemed to be a part thereof that has not been superseded or modified. </w:t>
      </w:r>
    </w:p>
    <w:p>
      <w:pPr>
        <w:pStyle w:val="TextBody"/>
        <w:bidi w:val="0"/>
        <w:spacing w:before="240" w:after="0"/>
        <w:jc w:val="left"/>
        <w:rPr>
          <w:rFonts w:ascii="Times New Roman" w:hAnsi="Times New Roman"/>
          <w:sz w:val="20"/>
        </w:rPr>
      </w:pPr>
      <w:r>
        <w:rPr>
          <w:rFonts w:ascii="Times New Roman" w:hAnsi="Times New Roman"/>
          <w:sz w:val="20"/>
        </w:rPr>
        <w:t xml:space="preserve">(e) (i)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Disclosure Package, at the Applicable Time, does not, and at the time of sale of the Notes pursuant to the offering when the Prospectus is not yet available to prospective purchasers and at the Closing Date (as defined in Section 3), the Disclosure Package, as then amended or supplemented, if applicable, will not, contain any untrue statement of a material fact or omit to state a material fact necessary to make the statements therein, in the light of the circumstances under which they were made, not misleading, (v) each road show, if any, when considered together with the Disclosure Package, does not contain any untrue statement of a material fact or omit to state a material fact necessary to make the statements therein, in the light of the circumstances under which they were made, not misleading and (vi) the Prospectus as of its date and, as amended or supplemented, if applicable, on the Closing Date, will not contain any untrue statement of a material fact or omit to state a material fact necessary to make the statements therein, in the light of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which they were made, not misleading, except that the representations and warranties set forth in this paragraph do not apply to statements or omissions in the Registration Statement, the Disclosure Package or the Prospectus based upon information relating to any Underwriter furnished to the Company in writing by such Underwriter through the Representatives expressly for use therein (which information is specified in Section 12 hereof). </w:t>
      </w:r>
    </w:p>
    <w:p>
      <w:pPr>
        <w:pStyle w:val="TextBody"/>
        <w:bidi w:val="0"/>
        <w:spacing w:before="240" w:after="0"/>
        <w:jc w:val="left"/>
        <w:rPr>
          <w:rFonts w:ascii="Times New Roman" w:hAnsi="Times New Roman"/>
          <w:sz w:val="20"/>
        </w:rPr>
      </w:pPr>
      <w:r>
        <w:rPr>
          <w:rFonts w:ascii="Times New Roman" w:hAnsi="Times New Roman"/>
          <w:sz w:val="20"/>
        </w:rPr>
        <w:t>(f) The documents incorporated or deemed to be incorporated by reference in the Disclosure Package or the Prospectus, at the time they were or hereafter are filed with the Commission, complied and will comply in all material respects with the requirements of the Exchange Act and the rules and regulations of the Commission thereunder (the “</w:t>
      </w:r>
      <w:r>
        <w:rPr>
          <w:rFonts w:ascii="Times New Roman" w:hAnsi="Times New Roman"/>
          <w:b/>
          <w:sz w:val="20"/>
        </w:rPr>
        <w:t>Exchange Act Regulations</w:t>
      </w:r>
      <w:r>
        <w:rPr>
          <w:rFonts w:ascii="Times New Roman" w:hAnsi="Times New Roman"/>
          <w:sz w:val="20"/>
        </w:rPr>
        <w:t xml:space="preserve">”), and, when read together with the other information in the Disclosure Package or the Prospectus at its date and at the Closing Date, did not and will not contain an untrue statement of a material fact or omit to state a material fact required to be stated therein or necessary to make the statements therein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(g) The Company has been duly incorporated, is validly existing as a corporation in good standing under the laws of the jurisdiction of its incorporation, has the corporate power and authority to own, lease and operate its properties and to conduct its business as described in the Registration Statement, Disclosure Package and the Prospectus. The Company is duly qualified as a foreign corporation to transact business and is in good standing or equivalent status in each jurisdiction in which such qualification is required, whether by reason of the ownership or leasing of property or the conduct of business, except such jurisdictions where the failure to so qualify or to be in good standing would not, individually or in the aggregate, result in a Material Adverse Change (as defined below). </w:t>
      </w:r>
    </w:p>
    <w:p>
      <w:pPr>
        <w:pStyle w:val="TextBody"/>
        <w:bidi w:val="0"/>
        <w:spacing w:before="240" w:after="0"/>
        <w:jc w:val="left"/>
        <w:rPr>
          <w:rFonts w:ascii="Times New Roman" w:hAnsi="Times New Roman"/>
          <w:sz w:val="20"/>
        </w:rPr>
      </w:pPr>
      <w:r>
        <w:rPr>
          <w:rFonts w:ascii="Times New Roman" w:hAnsi="Times New Roman"/>
          <w:sz w:val="20"/>
        </w:rPr>
        <w:t>(h) Each Significant Subsidiary of the Company, as such term is defined in Item 1-02 of Regulation S-X promulgated by the Commission (each a “</w:t>
      </w:r>
      <w:r>
        <w:rPr>
          <w:rFonts w:ascii="Times New Roman" w:hAnsi="Times New Roman"/>
          <w:b/>
          <w:sz w:val="20"/>
        </w:rPr>
        <w:t>Significant Subsidiary</w:t>
      </w:r>
      <w:r>
        <w:rPr>
          <w:rFonts w:ascii="Times New Roman" w:hAnsi="Times New Roman"/>
          <w:sz w:val="20"/>
        </w:rPr>
        <w:t xml:space="preserve">”), has been duly incorporated or organized, is validly existing as a corporation or limited liability company in good standing under the laws of the respective jurisdiction of incorporation or organization, has the corporate or limited liability company power and authority to own its respective property and to conduct its respective businesses as described in the Registration Statement, the Disclosure Package and the Prospectus and is duly qualified to transact business and is in good standing or equivalent status in each jurisdiction in which the conduct of its respective businesses or ownership or leasing of property requires such qualification, except to the extent that the failure to be so qualified or be in good standing would not individually or in the aggregate, result in a Material Adverse Change. </w:t>
      </w:r>
    </w:p>
    <w:p>
      <w:pPr>
        <w:pStyle w:val="TextBody"/>
        <w:bidi w:val="0"/>
        <w:spacing w:before="240" w:after="0"/>
        <w:jc w:val="left"/>
        <w:rPr>
          <w:rFonts w:ascii="Times New Roman" w:hAnsi="Times New Roman"/>
          <w:sz w:val="20"/>
        </w:rPr>
      </w:pPr>
      <w:r>
        <w:rPr>
          <w:rFonts w:ascii="Times New Roman" w:hAnsi="Times New Roman"/>
          <w:sz w:val="20"/>
        </w:rPr>
        <w:t>(i) The common stock of the Company (the “</w:t>
      </w:r>
      <w:r>
        <w:rPr>
          <w:rFonts w:ascii="Times New Roman" w:hAnsi="Times New Roman"/>
          <w:b/>
          <w:sz w:val="20"/>
        </w:rPr>
        <w:t>Common Stock</w:t>
      </w:r>
      <w:r>
        <w:rPr>
          <w:rFonts w:ascii="Times New Roman" w:hAnsi="Times New Roman"/>
          <w:sz w:val="20"/>
        </w:rPr>
        <w:t>”) conforms in all material respects to the description thereof in the Registration Statement, the Disclosure Package and the Prospectus. All of the outstanding shares of Common Stock have been duly authorized and validly issued, are fully paid and non-assessable and have been issued in compliance with federal and state securities laws. None of the outstanding shares of Common Stock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accurately described in the Registration Statement, the Disclosure Package and the Prospectus. The description of the Company’s stock option, stock bonus and other stock plans or arrangements, and the options or other rights granted thereunder, in the Registration Statement, the Disclosure Package and the Prospectus accurately and fairly describes such plans, arrangements, options and rights in all material respects. All the outstanding shares of capital stock or other equity interests of each Significant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 (collectively, “</w:t>
      </w:r>
      <w:r>
        <w:rPr>
          <w:rFonts w:ascii="Times New Roman" w:hAnsi="Times New Roman"/>
          <w:b/>
          <w:sz w:val="20"/>
        </w:rPr>
        <w:t>Liens</w:t>
      </w:r>
      <w:r>
        <w:rPr>
          <w:rFonts w:ascii="Times New Roman" w:hAnsi="Times New Roman"/>
          <w:sz w:val="20"/>
        </w:rPr>
        <w:t xml:space="preserve">”) except for Liens disclosed in the Registration Statement, the Disclosure Package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The Company has full right, power and authority to take, and has duly taken, or will take, all necessary action to authorize (i) the issuance, execution, delivery and performance of the Notes and (ii) the execution, delivery and performance by the Company of (1) this Agreement and (2) the Indenture; and the Company has duly taken, or will take, all necessary corporate action to authorize any amendments or supplements to, or modification of, the Registration Statement, the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(k) This Agreement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(l) The Indenture has been duly authorized by the Company and, at the Closing Date, will have been duly executed and delivered by the Company and will constitute a valid and binding agreement of the Company, enforceable against the Company in accordance with its terms, except as enforceability may be limited by applicable bankruptcy, insolvency or similar laws affecting the enforcement of creditors’ rights generally or by equitable principles relating to enforceability (the “</w:t>
      </w:r>
      <w:r>
        <w:rPr>
          <w:rFonts w:ascii="Times New Roman" w:hAnsi="Times New Roman"/>
          <w:b/>
          <w:sz w:val="20"/>
        </w:rPr>
        <w:t>Enforceability Exceptions</w:t>
      </w:r>
      <w:r>
        <w:rPr>
          <w:rFonts w:ascii="Times New Roman" w:hAnsi="Times New Roman"/>
          <w:sz w:val="20"/>
        </w:rPr>
        <w:t>”). The Indenture (i) has been qualified under the Trust Indenture Act of 1939, as amended (the “</w:t>
      </w:r>
      <w:r>
        <w:rPr>
          <w:rFonts w:ascii="Times New Roman" w:hAnsi="Times New Roman"/>
          <w:b/>
          <w:sz w:val="20"/>
        </w:rPr>
        <w:t>Trust Indenture Act</w:t>
      </w:r>
      <w:r>
        <w:rPr>
          <w:rFonts w:ascii="Times New Roman" w:hAnsi="Times New Roman"/>
          <w:sz w:val="20"/>
        </w:rPr>
        <w:t xml:space="preserve">”) and (ii) complies as to form with the requirements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(m) The Notes to be purchased by the Underwriters from the Company are in the form contemplated by the Indenture, have been duly authorized for issuance and sale pursuant to this Agreement and the Indenture and, at the Closing Date, will have been duly executed by the Company and, when authenticated in the manner provided for in the Indenture and delivered against payment of the purchase price therefor, will constitute valid and binding agreements of the Company, enforceable in accordance with their terms, subject to the Enforceability Exceptions, and will be entitled to the benefits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 The Notes, when issued, and the Indenture will, in all material respects, conform as to legal matters to the description thereof contained in each of the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(o) The statements in the Disclosure Package and the Prospectus under the headings “Description of Notes” and “Certain U.S. Federal Tax Considerations” fairly summarize, in all material respects, the matters therein described. </w:t>
      </w:r>
    </w:p>
    <w:p>
      <w:pPr>
        <w:pStyle w:val="TextBody"/>
        <w:bidi w:val="0"/>
        <w:spacing w:before="240" w:after="0"/>
        <w:jc w:val="left"/>
        <w:rPr>
          <w:rFonts w:ascii="Times New Roman" w:hAnsi="Times New Roman"/>
          <w:sz w:val="20"/>
        </w:rPr>
      </w:pPr>
      <w:r>
        <w:rPr>
          <w:rFonts w:ascii="Times New Roman" w:hAnsi="Times New Roman"/>
          <w:sz w:val="20"/>
        </w:rPr>
        <w:t>(p) Except as otherwise disclosed in the Disclosure Package and the Prospectus (each as amended or supplemented at such date), subsequent to the respective dates as of which information is given in the Disclosure Package (exclusive of any amendment or supplement thereto): (i) there has been no material adverse change, or any development that could reasonably be expected to result in a material adverse change, in the condition, financial or otherwise, or in the earnings, business, management or operations of the Company and its subsidiaries, considered as one entity (any such change is called a “</w:t>
      </w:r>
      <w:r>
        <w:rPr>
          <w:rFonts w:ascii="Times New Roman" w:hAnsi="Times New Roman"/>
          <w:b/>
          <w:sz w:val="20"/>
        </w:rPr>
        <w:t>Material Adverse Change</w:t>
      </w:r>
      <w:r>
        <w:rPr>
          <w:rFonts w:ascii="Times New Roman" w:hAnsi="Times New Roman"/>
          <w:sz w:val="20"/>
        </w:rPr>
        <w:t xml:space="preserve">”); and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(q) None of the Company, or any of its subsidiaries is (i) in violation of its charter, bylaws or other constitutive document or (ii) in default (or, with the giving of notice or lapse of time, would be in default) (“</w:t>
      </w:r>
      <w:r>
        <w:rPr>
          <w:rFonts w:ascii="Times New Roman" w:hAnsi="Times New Roman"/>
          <w:b/>
          <w:sz w:val="20"/>
        </w:rPr>
        <w:t>Default</w:t>
      </w:r>
      <w:r>
        <w:rPr>
          <w:rFonts w:ascii="Times New Roman" w:hAnsi="Times New Roman"/>
          <w:sz w:val="20"/>
        </w:rPr>
        <w:t xml:space="preserve">”) under any indenture, mortgage, loan or credit agreement, note, contract, franchise, lease or other instrument to which the Company or any of its subsidiaries is a party or by which it or any of them may be bound, or to which any of the property or assets of the Company, or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subsidiaries is subject (each, an “</w:t>
      </w:r>
      <w:r>
        <w:rPr>
          <w:rFonts w:ascii="Times New Roman" w:hAnsi="Times New Roman"/>
          <w:b/>
          <w:sz w:val="20"/>
        </w:rPr>
        <w:t>Existing Instrument</w:t>
      </w:r>
      <w:r>
        <w:rPr>
          <w:rFonts w:ascii="Times New Roman" w:hAnsi="Times New Roman"/>
          <w:sz w:val="20"/>
        </w:rPr>
        <w:t xml:space="preserve">”)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such Defaults or violations as would not, individually or in the aggregate, result in a Material Adverse Change. </w:t>
      </w:r>
    </w:p>
    <w:p>
      <w:pPr>
        <w:pStyle w:val="TextBody"/>
        <w:bidi w:val="0"/>
        <w:spacing w:before="240" w:after="0"/>
        <w:jc w:val="left"/>
        <w:rPr>
          <w:rFonts w:ascii="Times New Roman" w:hAnsi="Times New Roman"/>
          <w:sz w:val="20"/>
        </w:rPr>
      </w:pPr>
      <w:r>
        <w:rPr>
          <w:rFonts w:ascii="Times New Roman" w:hAnsi="Times New Roman"/>
          <w:sz w:val="20"/>
        </w:rPr>
        <w:t>(r) The execution, delivery and performance by the Company of this Agreement, the issuance, execution, delivery and performance of the Notes by the Company, the execution, delivery and performance of the Indenture by the Company, and the making and consummation by the Company of the transactions contemplated hereby and under the Disclosure Package and the Prospectus, each as amended or supplemented at such date (i) have been duly authorized by all necessary corporate or other action and will not result in any violation of the provisions of the charter, bylaws or other constitutive document of the Company or any of its subsidiaries,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in the case of clauses (ii) and (iii) above, for any such conflict, breach, violation, Default, lien, charge or encumbrance that would not, individually or in the aggregate, have a Material Adverse Change. As used herein, a “</w:t>
      </w:r>
      <w:r>
        <w:rPr>
          <w:rFonts w:ascii="Times New Roman" w:hAnsi="Times New Roman"/>
          <w:b/>
          <w:sz w:val="20"/>
        </w:rPr>
        <w:t>Debt Repayment Triggering Event</w:t>
      </w:r>
      <w:r>
        <w:rPr>
          <w:rFonts w:ascii="Times New Roman" w:hAnsi="Times New Roman"/>
          <w:sz w:val="20"/>
        </w:rPr>
        <w:t xml:space="preserve">”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 No consent, approval, authorization or other order of, or registration or filing with, any court or other governmental or regulatory authority or agency is required in connection with the execution, delivery and performance by the Company of this Agreement, the issuance, execution and delivery of the Notes by the Company, the execution, delivery and performance of the Indenture by the Company, except such as have been obtained or made by the Company and are in full force and effect under the Securities Act, and applicable securities laws of the several states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 There are no legal or governmental proceedings pending or threatened to which the Company or any of its subsidiaries is a party or to which any of the properties of the Company or any of its subsidiaries is subject, other than proceedings expressly described in the Company’s filings with the Commission and incorporated by reference into the Registration Statement, and proceedings that would not result in a Material Adverse Change, or adversely affect the power or ability of the Company to perform its obligations under this Agreement or to consummate the transactions described herein and contemplated by the Registration Statement, the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(u) The Company is subject to and in full compliance with the reporting requirements of Section 13 or Section 15(d) of the Exchange Act. </w:t>
      </w:r>
    </w:p>
    <w:p>
      <w:pPr>
        <w:pStyle w:val="TextBody"/>
        <w:bidi w:val="0"/>
        <w:spacing w:before="240" w:after="0"/>
        <w:jc w:val="left"/>
        <w:rPr>
          <w:rFonts w:ascii="Times New Roman" w:hAnsi="Times New Roman"/>
          <w:sz w:val="20"/>
        </w:rPr>
      </w:pPr>
      <w:r>
        <w:rPr>
          <w:rFonts w:ascii="Times New Roman" w:hAnsi="Times New Roman"/>
          <w:sz w:val="20"/>
        </w:rPr>
        <w:t>(v) The financial statements of the Company, together with the related schedules and notes, included or incorporated by reference in the Registration Statement, the Disclosure Package and the Prospectus, as amended or supplemented at such date, present fairly the consolidated financial position of the entities to which they relate as of and at the dates indicated and the results of their operations and cash flows for the periods specified. Such financial statements have been prepared in conformity with generally accepted accounting principles as applied in the United States (“</w:t>
      </w:r>
      <w:r>
        <w:rPr>
          <w:rFonts w:ascii="Times New Roman" w:hAnsi="Times New Roman"/>
          <w:b/>
          <w:sz w:val="20"/>
        </w:rPr>
        <w:t>GAAP</w:t>
      </w:r>
      <w:r>
        <w:rPr>
          <w:rFonts w:ascii="Times New Roman" w:hAnsi="Times New Roman"/>
          <w:sz w:val="20"/>
        </w:rPr>
        <w:t xml:space="preserve">”) applied on a consistent basis throughout the periods involved, except as may be expressly stated in the related notes thereto. The statistical and market-related data and forward-looking statements included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Registration Statement are based on or derived from sources that the Company and its subsidiaries believe to be reliable and accurate in all material respects and represent their good faith estimates that are made on the basis of data derived from such sources. The interactive data in eXtensible Business Reporting Language included or incorporated by reference in the Registration Statement fairly present the information called for in all material respects and have been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(w) No relationship, direct or indirect, exists between or among any of the Company or any affiliate of the Company, on the one hand, and any director, officer, member, stockholder, customer or supplier of the Company or any affiliate of the Company, on the other hand, which is required by the Securities Act to be disclosed in the Registration Statement pursuant to Item 404 of Regulation S-K is not so disclosed in the Registration Statement, the Disclosure Package and the Prospectus. Except as otherwise described in the Company’s filings with the Commission that are incorporated by reference into the Registration Statement, the Disclosure Package and the Prospectus, there are no outstanding loans, advances (except advances for business expenses in the ordinary course of business) or guarantees of indebtedness by the Company or any affiliate of the Company to or for the benefit of any of the officers or directors of the Company or any affiliate of the Company or any of their respective family members. </w:t>
      </w:r>
    </w:p>
    <w:p>
      <w:pPr>
        <w:pStyle w:val="TextBody"/>
        <w:bidi w:val="0"/>
        <w:spacing w:before="240" w:after="0"/>
        <w:jc w:val="left"/>
        <w:rPr>
          <w:rFonts w:ascii="Times New Roman" w:hAnsi="Times New Roman"/>
          <w:sz w:val="20"/>
        </w:rPr>
      </w:pPr>
      <w:r>
        <w:rPr>
          <w:rFonts w:ascii="Times New Roman" w:hAnsi="Times New Roman"/>
          <w:sz w:val="20"/>
        </w:rPr>
        <w:t xml:space="preserve">(x) Neither the Company nor any of its subsidiaries is a party to any contract, agreement or understanding with any person (other than this Agreement) that would give rise to a valid claim against any of them or the Underwriters for a brokerage commission, finder’s fee or like payment in connection with the offering and issuance of the Notes. </w:t>
      </w:r>
    </w:p>
    <w:p>
      <w:pPr>
        <w:pStyle w:val="TextBody"/>
        <w:bidi w:val="0"/>
        <w:spacing w:before="240" w:after="0"/>
        <w:jc w:val="left"/>
        <w:rPr>
          <w:rFonts w:ascii="Times New Roman" w:hAnsi="Times New Roman"/>
          <w:sz w:val="20"/>
        </w:rPr>
      </w:pPr>
      <w:r>
        <w:rPr>
          <w:rFonts w:ascii="Times New Roman" w:hAnsi="Times New Roman"/>
          <w:sz w:val="20"/>
        </w:rPr>
        <w:t>(y) The Company has been advised of the rules and requirements under the Investment Company Act of 1940, as amended (the “</w:t>
      </w:r>
      <w:r>
        <w:rPr>
          <w:rFonts w:ascii="Times New Roman" w:hAnsi="Times New Roman"/>
          <w:b/>
          <w:sz w:val="20"/>
        </w:rPr>
        <w:t>Investment Company Act</w:t>
      </w:r>
      <w:r>
        <w:rPr>
          <w:rFonts w:ascii="Times New Roman" w:hAnsi="Times New Roman"/>
          <w:sz w:val="20"/>
        </w:rPr>
        <w:t xml:space="preserve">,” which term, as used herein, includes the rules and regulations of the Commission promulgated thereunder). The Company is not an “investment company” within the meaning of the Investment Company Act and will conduct its business in a manner so that it will not become subject to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(z)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or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(aa) The Company and its subsidiaries own, possess, or otherwise have the right to use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them, and neither the Company nor any of its subsidiaries has received any notice of infringement of or conflict with asserted rights of others (and the business of the Company and its subsidiaries does not infringe or conflict with the rights of others) with respect to any of the foregoing which, singly or in the aggregate, if the subject of an unfavorable decision, ruling or finding, would result in a Material Adverse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(bb) Except as would not, individually or in the aggregate, reasonably be expected to result in a Material Adverse Change, (A) there has been no security breach or incident, unauthorized access or disclosure, or other compromise of or relating to any of the Company’s, and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equipment or technology (collectively, “</w:t>
      </w:r>
      <w:r>
        <w:rPr>
          <w:rFonts w:ascii="Times New Roman" w:hAnsi="Times New Roman"/>
          <w:b/>
          <w:sz w:val="20"/>
        </w:rPr>
        <w:t>IT Systems and Data</w:t>
      </w:r>
      <w:r>
        <w:rPr>
          <w:rFonts w:ascii="Times New Roman" w:hAnsi="Times New Roman"/>
          <w:sz w:val="20"/>
        </w:rPr>
        <w:t xml:space="preserve">”); (B) neither the Company nor its subsidiaries have knowledge of any event or condition that could result in, any security breach or incident, unauthorized access or disclosure or other compromise that in any such case could reasonably be expected to disrupt the functionality of their IT Systems and Data; and (C)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and applicable regulatory standards.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other than those failures to comply that could not be expected to result in a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(cc) PricewaterhouseCoopers LLP, which reviewed certain financial statements (which term as used in this Agreement includes the related notes thereto) and supporting schedules filed with the Commission and included or incorporated by reference in the Registration Statement, the Disclosure Package and the Prospectus, is an independent registered public accounting firm with respect to the Company and its subsidiaries within the meaning of the Securities Act, the Exchange Act and the rules of the Public Company Accounting Oversight Board. </w:t>
      </w:r>
    </w:p>
    <w:p>
      <w:pPr>
        <w:pStyle w:val="TextBody"/>
        <w:bidi w:val="0"/>
        <w:spacing w:before="240" w:after="0"/>
        <w:jc w:val="left"/>
        <w:rPr>
          <w:rFonts w:ascii="Times New Roman" w:hAnsi="Times New Roman"/>
          <w:sz w:val="20"/>
        </w:rPr>
      </w:pPr>
      <w:r>
        <w:rPr>
          <w:rFonts w:ascii="Times New Roman" w:hAnsi="Times New Roman"/>
          <w:sz w:val="20"/>
        </w:rPr>
        <w:t xml:space="preserve">(dd) BDO USA, P.C., which expressed its opinion with respect to certain financial statements (which term as used in this Agreement includes the related notes thereto) and supporting schedules filed with the Commission and included or incorporated by reference in the Registration Statement, the Disclosure Package and the Prospectus, is an independent registered public accounting firm with respect to the Company and its subsidiaries within the meaning of the Securities Act, the Exchange Act and the rules of the Public Company Accounting Oversight Board. </w:t>
      </w:r>
    </w:p>
    <w:p>
      <w:pPr>
        <w:pStyle w:val="TextBody"/>
        <w:bidi w:val="0"/>
        <w:spacing w:before="240" w:after="0"/>
        <w:jc w:val="left"/>
        <w:rPr>
          <w:rFonts w:ascii="Times New Roman" w:hAnsi="Times New Roman"/>
          <w:sz w:val="20"/>
        </w:rPr>
      </w:pPr>
      <w:r>
        <w:rPr>
          <w:rFonts w:ascii="Times New Roman" w:hAnsi="Times New Roman"/>
          <w:sz w:val="20"/>
        </w:rPr>
        <w:t>(ee) Deloitte &amp; Touche LLP, which expressed its opinion with respect to certain financial statements (which term as used in this Agreement includes the related notes thereto) of IEA Energy Services, LLC (“</w:t>
      </w:r>
      <w:r>
        <w:rPr>
          <w:rFonts w:ascii="Times New Roman" w:hAnsi="Times New Roman"/>
          <w:b/>
          <w:sz w:val="20"/>
        </w:rPr>
        <w:t>IEA LLC</w:t>
      </w:r>
      <w:r>
        <w:rPr>
          <w:rFonts w:ascii="Times New Roman" w:hAnsi="Times New Roman"/>
          <w:sz w:val="20"/>
        </w:rPr>
        <w:t xml:space="preserve">”), is an independent registered public accounting firm with respect to IEA LLC and its subsidiaries within the meaning of the Securities Act, the Exchange Act and the rules of the Public Company Accounting Oversight Board. </w:t>
      </w:r>
    </w:p>
    <w:p>
      <w:pPr>
        <w:pStyle w:val="TextBody"/>
        <w:bidi w:val="0"/>
        <w:spacing w:before="240" w:after="0"/>
        <w:jc w:val="left"/>
        <w:rPr>
          <w:rFonts w:ascii="Times New Roman" w:hAnsi="Times New Roman"/>
          <w:sz w:val="20"/>
        </w:rPr>
      </w:pPr>
      <w:r>
        <w:rPr>
          <w:rFonts w:ascii="Times New Roman" w:hAnsi="Times New Roman"/>
          <w:sz w:val="20"/>
        </w:rPr>
        <w:t xml:space="preserve">(ff) The Company and its consolidated subsidiaries have filed all necessary federal, state, local and foreign income and franchise tax returns or have properly requested extensions thereof and have paid all taxes required to be paid by any of them and, if due and payable, any related or similar assessment, fine or penalty levied against any of them, in each case, except as may be being contested in good faith and by appropriate proceedings or where the failure to do so would not result in a Material Adverse Change. The Company has made adequate charges, accruals and reserves in accordance with GAAP in the applicable financial statements referred to in Section 1(v) hereof in respect of all federal, state, local and foreign income and franchise taxes for all periods as to which the tax liability of the Company or any of its consolidated subsidiaries has not been finally determined, except where the failure to do so would not result in a Material Adverse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(gg) Except as would not, individually or in the aggregate, reasonably be expected to result in a Material Adverse Change: (i) the Company and its subsidiaries and each “employee benefit plan” (as defined in Section 3(3) the Employee Retirement Income Security Act of 1974 (as amended, “</w:t>
      </w:r>
      <w:r>
        <w:rPr>
          <w:rFonts w:ascii="Times New Roman" w:hAnsi="Times New Roman"/>
          <w:b/>
          <w:sz w:val="20"/>
        </w:rPr>
        <w:t>ERISA</w:t>
      </w:r>
      <w:r>
        <w:rPr>
          <w:rFonts w:ascii="Times New Roman" w:hAnsi="Times New Roman"/>
          <w:sz w:val="20"/>
        </w:rPr>
        <w:t>,” which term, as used herein, includes the regulations and published interpretations thereunder) established or maintained by the Company, its subsidiaries or their ERISA Affiliates (as defined below) is in compliance with its terms, ERISA and the requirements of all applicable statutes rules and regulations and, to the knowledge of the Company, each “multiemployer plan” (as defined in Section 4001(a)(3) of ERISA) to which the Company, its subsidiaries or an ERISA Affiliate contributes or has an obligation to contribute (a “</w:t>
      </w:r>
      <w:r>
        <w:rPr>
          <w:rFonts w:ascii="Times New Roman" w:hAnsi="Times New Roman"/>
          <w:b/>
          <w:sz w:val="20"/>
        </w:rPr>
        <w:t>Multiemployer Plan</w:t>
      </w:r>
      <w:r>
        <w:rPr>
          <w:rFonts w:ascii="Times New Roman" w:hAnsi="Times New Roman"/>
          <w:sz w:val="20"/>
        </w:rPr>
        <w:t>”) is in compliance with ERISA, (ii) no “reportable event” (as defined in Section 4043 of ERISA) has occurred or is reasonably expected to occur with respect to any “employee benefit plan” established or maintained by the Company, its subsidiaries or any of their ERISA Affiliates, (iii) no “single employer plan” (as defined in Section 4001 of ERISA) established or maintained by the Company, its subsidiaries or any of their ERISA Affiliates, if such “employee benefit plan” were terminated, would have any “amount of unfunded benefit liabilities” (as defined under ERISA), (iv) no “employee benefit plan” established or maintained by the Company, its subsidiaries or their ERISA Affiliates is, or is reasonably expected to be, in “at risk” status (within the meaning of Section 303(i) of ERISA) and no Multiemployer Plan is, or is reasonably expected to be, in “endangered” or “critical” status (within the meaning of Section 305 of ERISA); (v) neither the Company, its subsidiaries nor any of their ERISA Affiliates has incurred or reasonably expects to incur any liability under (A) Title IV of ERISA with respect to termination of, or withdrawal from, any “employee benefit plan” or (B) Sections 412, 4971, 4975 or 4980B of the Internal Revenue Code of 1986 (as amended, the “Code,” which term, as used herein, includes the regulations and published interpretations thereunder) or Section 4062(e) of ERISA, and (vi) each “employee benefit plan” established or maintained by the Company, its subsidiaries or any of their ERISA Affiliates that is intended to be qualified under Section 401 of the Code is so qualified and nothing has occurred, whether by action or failure to act, which would cause the loss of such qualification. “</w:t>
      </w:r>
      <w:r>
        <w:rPr>
          <w:rFonts w:ascii="Times New Roman" w:hAnsi="Times New Roman"/>
          <w:b/>
          <w:sz w:val="20"/>
        </w:rPr>
        <w:t>ERISA Affiliate</w:t>
      </w:r>
      <w:r>
        <w:rPr>
          <w:rFonts w:ascii="Times New Roman" w:hAnsi="Times New Roman"/>
          <w:sz w:val="20"/>
        </w:rPr>
        <w:t xml:space="preserve">” means, with respect to the Company or a subsidiary, any member of any group of organizations described in Section 414 of the Code of which the Company or such subsidiary is a member. </w:t>
      </w:r>
    </w:p>
    <w:p>
      <w:pPr>
        <w:pStyle w:val="TextBody"/>
        <w:bidi w:val="0"/>
        <w:spacing w:before="240" w:after="0"/>
        <w:jc w:val="left"/>
        <w:rPr>
          <w:rFonts w:ascii="Times New Roman" w:hAnsi="Times New Roman"/>
          <w:sz w:val="20"/>
        </w:rPr>
      </w:pPr>
      <w:r>
        <w:rPr>
          <w:rFonts w:ascii="Times New Roman" w:hAnsi="Times New Roman"/>
          <w:sz w:val="20"/>
        </w:rPr>
        <w:t xml:space="preserve">(hh) No material labor dispute with the employees of the Company or any of its subsidiaries exists, except as otherwise disclosed in the Registration Statement, the Disclosure Package and the Prospectus, or, to the knowledge of the Company, is threatened; and the Company is not aware of any existing, threatened or imminent labor disturbance by or on behalf of the employees of the Company’s or any of its subsidiaries’ principal suppliers, manufacturers or contractors that could have a Material Adverse Change on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and each of its subsidiaries are insured by insurers of recognized financial responsibility against such losses and risks and in such amounts as are prudent and customary in the businesses in which they are engaged; neither the Company nor any of its subsidiaries has been refused any insurance coverage sought or applied for, the absence of which insurance could reasonably be expected to result in a Material Adverse Change,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result in a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(jj) Except as otherwise disclosed in the Registration Statement, the Disclosure Package and the Prospectus, the Company and each subsidiary possess such valid and current certificates, authorizations or permits issued by the appropriate state, federal or foreign regulatory agencies or bodies necessary to own, lease and operate its properties and to conduct its respective business, other than those the absence of which would not cause a Material Adverse Change, and neither the Company nor any subsidiary has received any notice of proceedings relating to the revocation or modification of, or non-compliance with, any such certificate, authorization or permit which, singly or in the aggregate, if the subject of an unfavorable decision, ruling or finding, would result in a Material Adverse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(kk) Except as otherwise disclosed in the Registration Statement, the Disclosure Package and the Prospectus or as would not, individually or in the aggregate, reasonably be expected to result in a Material Adverse Change: (i) each of the Company and its subsidiaries and their respective operations and facilities are in compliance with Environmental Laws, which compliance includes, without limitation, having obtained and being in compliance with any permits, licenses or other authorizations or approvals required thereunder; (ii) neither the Company nor any of its subsidiaries has received notice of any claim or liability that would reasonably be expected to cause the Company or any of its subsidiaries to incur or be subject to liability under Environmental Laws; and (iii) there are no past or present facts, actions, activities, circumstances, conditions or occurrences, including, without limitation, the Release or threatened Release of any Material of Environmental Concern, that would reasonably be expected to cause the Company or any of its subsidiaries to incur or be subject to any liability under Environmental Laws. </w:t>
      </w:r>
    </w:p>
    <w:p>
      <w:pPr>
        <w:pStyle w:val="TextBody"/>
        <w:bidi w:val="0"/>
        <w:spacing w:before="240" w:after="0"/>
        <w:jc w:val="left"/>
        <w:rPr>
          <w:rFonts w:ascii="Times New Roman" w:hAnsi="Times New Roman"/>
          <w:sz w:val="20"/>
        </w:rPr>
      </w:pPr>
      <w:r>
        <w:rPr>
          <w:rFonts w:ascii="Times New Roman" w:hAnsi="Times New Roman"/>
          <w:sz w:val="20"/>
        </w:rPr>
        <w:t>For purposes of this Agreement, “</w:t>
      </w:r>
      <w:r>
        <w:rPr>
          <w:rFonts w:ascii="Times New Roman" w:hAnsi="Times New Roman"/>
          <w:b/>
          <w:sz w:val="20"/>
        </w:rPr>
        <w:t>Environment</w:t>
      </w:r>
      <w:r>
        <w:rPr>
          <w:rFonts w:ascii="Times New Roman" w:hAnsi="Times New Roman"/>
          <w:sz w:val="20"/>
        </w:rPr>
        <w:t>” means ambient air, indoor air, surface water, groundwater, drinking water, soil, surface and subsurface strata, and natural resources such as wetlands, flora and fauna. “</w:t>
      </w:r>
      <w:r>
        <w:rPr>
          <w:rFonts w:ascii="Times New Roman" w:hAnsi="Times New Roman"/>
          <w:b/>
          <w:sz w:val="20"/>
        </w:rPr>
        <w:t>Environmental Laws</w:t>
      </w:r>
      <w:r>
        <w:rPr>
          <w:rFonts w:ascii="Times New Roman" w:hAnsi="Times New Roman"/>
          <w:sz w:val="20"/>
        </w:rPr>
        <w:t>” means the common law and all applicable federal, state, local and foreign laws or regulations, ordinances, codes, orders, decrees, judgments and injunctions issued, promulgated or entered thereunder, relating to pollution or protection of the Environment or human health (to the extent relating to Materials of Environmental Concern), including without limitation, those relating to (i) the Release or threatened Release of Materials of Environmental Concern; and (ii) the manufacture, processing, distribution, use, generation, treatment, storage, transport, handling or recycling of Materials of Environmental Concern. “</w:t>
      </w:r>
      <w:r>
        <w:rPr>
          <w:rFonts w:ascii="Times New Roman" w:hAnsi="Times New Roman"/>
          <w:b/>
          <w:sz w:val="20"/>
        </w:rPr>
        <w:t>Materials of Environmental Concern</w:t>
      </w:r>
      <w:r>
        <w:rPr>
          <w:rFonts w:ascii="Times New Roman" w:hAnsi="Times New Roman"/>
          <w:sz w:val="20"/>
        </w:rPr>
        <w:t>” means petroleum and petroleum products, asbestos or asbestos containing materials, polychlorinated biphenyls, perfluoroalkyl and polyfluoroalkyl substances, chlorofluorocarbons, radon gas, and any other substance, material, pollutant, contaminant, chemical, waste, compound, or constituent, in any form, subject to regulation or which can give rise to liability under any Environmental Law. “</w:t>
      </w:r>
      <w:r>
        <w:rPr>
          <w:rFonts w:ascii="Times New Roman" w:hAnsi="Times New Roman"/>
          <w:b/>
          <w:sz w:val="20"/>
        </w:rPr>
        <w:t>Release</w:t>
      </w:r>
      <w:r>
        <w:rPr>
          <w:rFonts w:ascii="Times New Roman" w:hAnsi="Times New Roman"/>
          <w:sz w:val="20"/>
        </w:rPr>
        <w:t xml:space="preserve">” means any release, spill, emission, discharge, deposit, disposal, leaking, pumping, pouring, dumping, emptying, injection or leaching into or migration through the Environment, or into, from or through any building, structure or facility. </w:t>
      </w:r>
    </w:p>
    <w:p>
      <w:pPr>
        <w:pStyle w:val="TextBody"/>
        <w:bidi w:val="0"/>
        <w:spacing w:before="240" w:after="0"/>
        <w:jc w:val="left"/>
        <w:rPr>
          <w:rFonts w:ascii="Times New Roman" w:hAnsi="Times New Roman"/>
          <w:sz w:val="20"/>
        </w:rPr>
      </w:pPr>
      <w:r>
        <w:rPr>
          <w:rFonts w:ascii="Times New Roman" w:hAnsi="Times New Roman"/>
          <w:sz w:val="20"/>
        </w:rPr>
        <w:t>(ll) Neither the Company nor any of its subsidiaries nor any of their respective directors or officers nor, to the knowledge of the Company, any agent or employee of the Company or any of its subsidiaries, is aware of or has taken any action, directly or indirectly, in a violation by such persons of the Foreign Corrupt Practices Act of 1977 (as amended, together with the rules and regulations thereunder, “</w:t>
      </w:r>
      <w:r>
        <w:rPr>
          <w:rFonts w:ascii="Times New Roman" w:hAnsi="Times New Roman"/>
          <w:b/>
          <w:sz w:val="20"/>
        </w:rPr>
        <w:t>FCPA</w:t>
      </w:r>
      <w:r>
        <w:rPr>
          <w:rFonts w:ascii="Times New Roman" w:hAnsi="Times New Roman"/>
          <w:sz w:val="20"/>
        </w:rPr>
        <w:t>”), any applicable law or regulation implementing the OECD Convention on Combating Bribery of Foreign Public Officials in International Business Transactions, the U.K. Bribery Act of 2010 (the “</w:t>
      </w:r>
      <w:r>
        <w:rPr>
          <w:rFonts w:ascii="Times New Roman" w:hAnsi="Times New Roman"/>
          <w:b/>
          <w:sz w:val="20"/>
        </w:rPr>
        <w:t>Bribery Act</w:t>
      </w:r>
      <w:r>
        <w:rPr>
          <w:rFonts w:ascii="Times New Roman" w:hAnsi="Times New Roman"/>
          <w:sz w:val="20"/>
        </w:rPr>
        <w:t xml:space="preserve">”), or any other applicable anti-bribery or anti-corruption law,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other applicable anti-bribery or anti-corruption law) or any foreign political party or official thereof or any candidate for foreign political office, in contravention of the FCPA or other applicable anti-bribery or anti-corruption law, and the Company and its subsidiaries have conducted their businesses in compliance with the FCPA, the Bribery Act, and the other applicable anti-bribery or anti-corruption laws, and have instituted and maintain, and enforce policies and procedures reasonably designed to ensure, and which are reasonably expected to continue to ensure, continued compliance therewith; </w:t>
      </w:r>
    </w:p>
    <w:p>
      <w:pPr>
        <w:pStyle w:val="TextBody"/>
        <w:bidi w:val="0"/>
        <w:spacing w:before="240" w:after="0"/>
        <w:jc w:val="left"/>
        <w:rPr>
          <w:rFonts w:ascii="Times New Roman" w:hAnsi="Times New Roman"/>
          <w:sz w:val="20"/>
        </w:rPr>
      </w:pPr>
      <w:r>
        <w:rPr>
          <w:rFonts w:ascii="Times New Roman" w:hAnsi="Times New Roman"/>
          <w:sz w:val="20"/>
        </w:rPr>
        <w:t xml:space="preserve">(mm)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regulations or guidelines issued, administered or enforced by any governmental agency (collectively, the “</w:t>
      </w:r>
      <w:r>
        <w:rPr>
          <w:rFonts w:ascii="Times New Roman" w:hAnsi="Times New Roman"/>
          <w:b/>
          <w:sz w:val="20"/>
        </w:rPr>
        <w:t>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violations of the Money Laundering Laws is pending or, to the knowledge of the Company, threatened. </w:t>
      </w:r>
    </w:p>
    <w:p>
      <w:pPr>
        <w:pStyle w:val="TextBody"/>
        <w:bidi w:val="0"/>
        <w:spacing w:before="240" w:after="0"/>
        <w:jc w:val="left"/>
        <w:rPr>
          <w:rFonts w:ascii="Times New Roman" w:hAnsi="Times New Roman"/>
          <w:sz w:val="20"/>
        </w:rPr>
      </w:pPr>
      <w:r>
        <w:rPr>
          <w:rFonts w:ascii="Times New Roman" w:hAnsi="Times New Roman"/>
          <w:sz w:val="20"/>
        </w:rPr>
        <w:t>(nn) Neither the Company nor any of its subsidiaries nor any of their respective directors or officers, nor, to the knowledge of the Company, any agent, employee or representative of the Company or any of its subsidiaries is an individual or entity (“</w:t>
      </w:r>
      <w:r>
        <w:rPr>
          <w:rFonts w:ascii="Times New Roman" w:hAnsi="Times New Roman"/>
          <w:b/>
          <w:sz w:val="20"/>
        </w:rPr>
        <w:t>Person</w:t>
      </w:r>
      <w:r>
        <w:rPr>
          <w:rFonts w:ascii="Times New Roman" w:hAnsi="Times New Roman"/>
          <w:sz w:val="20"/>
        </w:rPr>
        <w:t>”) that is currently the target or subject of any sanctions administered or enforced by the U.S. government (including, without limitation, the Office of Foreign Assets Control of the U.S. Treasury Department, the U.S. Department of Commerce, the U.S. Department of State), the United Nations Security Council, the European Union, His Majesty’s Treasury of the United Kingdom, or other applicable sanctions authority (collectively, “</w:t>
      </w:r>
      <w:r>
        <w:rPr>
          <w:rFonts w:ascii="Times New Roman" w:hAnsi="Times New Roman"/>
          <w:b/>
          <w:sz w:val="20"/>
        </w:rPr>
        <w:t>Sanctions</w:t>
      </w:r>
      <w:r>
        <w:rPr>
          <w:rFonts w:ascii="Times New Roman" w:hAnsi="Times New Roman"/>
          <w:sz w:val="20"/>
        </w:rPr>
        <w:t xml:space="preserve">”), nor is the Company or any of its subsidiaries located, organized or resident in a country or territory that is the subject of comprehensive Sanctions. The Company will not, directly, or to its knowledge, indirectly, use the proceeds of the offering and sale of the Notes, or lend, contribute or otherwise make available such proceeds to any subsidiary, joint venture partner or other Person, (i) to fund or facilitate any activities of or business with any Person that, at the time of such funding or facilitation, is the subject or target of Sanctions, or in any country or territory, that, at the time of such funding or facilitation, is the subject or target of comprehensive Sanctions (currently, Cuba, Iran, North Korea, Crimea, the so-called Donetsk People’s Republic, the so-called Luhansk People’s Republic, the non-government controlled areas of the Zaporizhzhia and Kherson Regions of Ukraine and Syria (with respect to Syria only until July 1, 2025)), or (ii) in any other manner that will result in a violation by any Person (including any Person participating in the offering and sale of the Notes, whether as initial purchaser, underwriter, advisor, investor or otherwise) of Sanctions. For the past ten years, the Company and its subsidiaries have not knowingly engaged in, and are not now knowingly engaged in, and will not engage in any dealings or transactions with any Person that, at the time of such dealing or transaction, is or was the subject or target of Sanctions or with or in any country or territory that is or was the target or subject of comprehensive Sanctions. </w:t>
      </w:r>
    </w:p>
    <w:p>
      <w:pPr>
        <w:pStyle w:val="TextBody"/>
        <w:bidi w:val="0"/>
        <w:spacing w:before="240" w:after="0"/>
        <w:jc w:val="left"/>
        <w:rPr>
          <w:rFonts w:ascii="Times New Roman" w:hAnsi="Times New Roman"/>
          <w:sz w:val="20"/>
        </w:rPr>
      </w:pPr>
      <w:r>
        <w:rPr>
          <w:rFonts w:ascii="Times New Roman" w:hAnsi="Times New Roman"/>
          <w:sz w:val="20"/>
        </w:rPr>
        <w:t xml:space="preserve">(oo) Neither the Company nor any of its subsidiaries nor any agent thereof acting on their behalf has taken, and none of them will take, any action that might cause the issuance and delivery of the Notes to violate Regulation T, Regulation U or Regulation X of the Board of Governors of the Federal Reserve System. </w:t>
      </w:r>
    </w:p>
    <w:p>
      <w:pPr>
        <w:pStyle w:val="TextBody"/>
        <w:bidi w:val="0"/>
        <w:spacing w:before="240" w:after="0"/>
        <w:jc w:val="left"/>
        <w:rPr>
          <w:rFonts w:ascii="Times New Roman" w:hAnsi="Times New Roman"/>
          <w:sz w:val="20"/>
        </w:rPr>
      </w:pPr>
      <w:r>
        <w:rPr>
          <w:rFonts w:ascii="Times New Roman" w:hAnsi="Times New Roman"/>
          <w:sz w:val="20"/>
        </w:rPr>
        <w:t xml:space="preserve">(pp) The Company, its subsidiaries and its officers and directors are in compliance in all material respects with the applicable provisions of the Sarbanes-Oxley Act of 2002 (including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(qq) Except as otherwise disclosed in the Disclosure Package and the Prospectus, the Company and its subsidiaries, on a consolidated basis, maintain disclosure controls and procedures (as such term is defined in Rule 13a-15(e) under the Exchange Act) that comply with the requirements of the Exchange Act; and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reasonably effective to perform the functions for which they were established subject to the limitations of any such control system; the Company’s auditors and the Audit Committee of the Board of Directors of the Company have been advised of: (i) any significant deficiencies or material weaknesses in the design or operation of internal controls which could adversely affect the Company’s ability to record, process, summarize, and report financial data; and (ii) any fraud, whether or not material, that involves management or other employees who have a role in the Company’s internal controls; and since the date of the most recent evaluation of such disclosure controls and procedures, there have been no significant changes in internal controls or in other factors that would significantly affect internal controls, including any corrective actions with regard to significant deficiencies and material weaknesses.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(rr) Except as otherwise disclosed in the Disclosure Package and the Prospectus, the Company and each of its subsidiaries, taken as a whole,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Registration Statement, the Disclosure Package and the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(ss) Subsequent to the respective dates as of which information is given in each of the Registration Statement, the Disclosure Package and the Prospectus, (i) the Company and its subsidiaries have not incurred any material liability or obligation, direct or contingent, not in the ordinary course of business, nor entered into any material transaction not in the ordinary course of business; (ii) the Company has not purchased any of its outstanding capital stock (other than share repurchases under the Company’s publicly announced May 2025 $250 million share repurchase program or shares withheld or otherwise acquired in connection with the payment of employee income taxes with respect to shares issued under the Company’s equity incentive plans), nor declared, paid or otherwise made any dividend or distribution of any kind on its capital stock other than ordinary and customary dividends; and (iii) there has not been any material change in the capital stock, short-term debt or long-term debt of the Company and its subsidiaries except in each case as described in each of the Registration Statement, the Disclosure Package and the Prospectus, respectively. </w:t>
      </w:r>
    </w:p>
    <w:p>
      <w:pPr>
        <w:pStyle w:val="TextBody"/>
        <w:bidi w:val="0"/>
        <w:spacing w:before="240" w:after="0"/>
        <w:jc w:val="left"/>
        <w:rPr>
          <w:rFonts w:ascii="Times New Roman" w:hAnsi="Times New Roman"/>
          <w:sz w:val="20"/>
        </w:rPr>
      </w:pPr>
      <w:r>
        <w:rPr>
          <w:rFonts w:ascii="Times New Roman" w:hAnsi="Times New Roman"/>
          <w:sz w:val="20"/>
        </w:rPr>
        <w:t xml:space="preserve">(tt) Each Preliminary Prospectus filed as part of the Registration Statement as originally filed or as part of any amendment thereto, or filed pursuant to Rule 424 under the Securities Act, when so filed complied as to form in all material respects with the Securities Act and the applicable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(uu) Neither the Company nor any of its subsidiaries has taken, directly or indirectly, any action designed to cause or result in, or which might cause or result in, the stabilization or manipulation of the price of the Notes to facilitate the sale or resale of the Notes.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1, as well as for Section 6 hereof, references to “the most recent Preliminary Prospectus and the Prospectus” or “the Disclosure Package and the Prospectus” are to each of the most recent Preliminary Prospectus or the Disclosure Package, as the case may be, and the Prospectus as separate or stand-alone documentation (and not the most recent Preliminary Prospectus or the Disclosure Package, as the case may be, and the Prospectus taken together), so that representations, warranties, agreements, conditions and legal opinions will be made, given or measured independently in respect of each of the most recent Preliminary Prospectus or the Disclosure Package, as the case may be, and the Prospectus, in each case as of the dates that such representations, warranties, agreements, and conditions are so made, given or measured.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Purchase of the Notes by the Underwriters</w:t>
      </w:r>
      <w:r>
        <w:rPr>
          <w:rFonts w:ascii="Times New Roman" w:hAnsi="Times New Roman"/>
          <w:sz w:val="20"/>
        </w:rPr>
        <w:t xml:space="preserve">. Subject to the terms and conditions and upon the basis of the representations and warranties herein set forth, the Company agrees to issue and sell to the Underwriters, and each of the Underwriters agrees, severally and not jointly, to purchase from the Company, at a price equal to 99.006% of the principal amount thereof, plus accrued interest, if any, from August 17, 2026, the principal amount of the Notes set forth opposite such Underwriter’s name in Schedule I hereto.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Delivery of and Payment for Notes</w:t>
      </w:r>
      <w:r>
        <w:rPr>
          <w:rFonts w:ascii="Times New Roman" w:hAnsi="Times New Roman"/>
          <w:sz w:val="20"/>
        </w:rPr>
        <w:t>. Delivery of the Notes will be made at the offices of Simpson Thacher &amp; Bartlett LLP, 425 Lexington Avenue, New York, NY 10017, or at such place or places as mutually may be agreed upon by the Company and the Underwriters, at 10:00 A.M., New York City time, on August 17, 2026 or on such later date not more than three Business Days after such date as may be determined by each Representative and the Company (the “</w:t>
      </w:r>
      <w:r>
        <w:rPr>
          <w:rFonts w:ascii="Times New Roman" w:hAnsi="Times New Roman"/>
          <w:b/>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Delivery of the Notes will be made to the Representatives by or on behalf of the Company against payment of the purchase price therefor by wire transfer of immediately available funds. Delivery of the Notes will be made through the facilities of The Depository Trust Company (“</w:t>
      </w:r>
      <w:r>
        <w:rPr>
          <w:rFonts w:ascii="Times New Roman" w:hAnsi="Times New Roman"/>
          <w:b/>
          <w:sz w:val="20"/>
        </w:rPr>
        <w:t>DTC</w:t>
      </w:r>
      <w:r>
        <w:rPr>
          <w:rFonts w:ascii="Times New Roman" w:hAnsi="Times New Roman"/>
          <w:sz w:val="20"/>
        </w:rPr>
        <w:t xml:space="preserve">”) unless the Representatives will otherwise instruct. Delivery of the Notes at the time and place specified in this Agreement is a further condition to the obligations of each Underwriter.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Covenants of the Company</w:t>
      </w:r>
      <w:r>
        <w:rPr>
          <w:rFonts w:ascii="Times New Roman" w:hAnsi="Times New Roman"/>
          <w:sz w:val="20"/>
        </w:rPr>
        <w:t xml:space="preserve">. The Company covenants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The Company (i) will prepare the Prospectus in a form approved by the each Representative and file the Prospectus pursuant to Rule 424(b) of the Rules and Regulations within the time period prescribed by such Rule; (ii) will not file any amendment or supplement to the Registration Statement or the Prospectus or file any document under the Exchange Act before the termination of the offering of the Notes by the Underwriters if such document would be deemed to be incorporated by reference into the Prospectus, which filing is not consented to by each Representative after reasonable notice thereof (such consent not to be unreasonably withheld or delayed); (iii) will advise the Representatives, promptly after it receives notice thereof, of the time when any amendment or supplement to the Registration Statement, the most recent Preliminary Prospectus or the Prospectus has been filed and will furnish each Representative with copies thereof; (iv) will prepare the Final Term Sheet, substantially in the form of Schedule III hereto and approved by each Representative and file the Final Term Sheet pursuant to Rule 433(d) of the Rules and Regulations within the time period prescribed by such Rule; (v) will advise the Representatives promptly after it receives notice thereof, of the issuance by the Commission or any state or other regulatory body of any stop order or any order suspending the effectiveness of the Registration Statement, suspending or preventing the use of any Preliminary Prospectus, the Prospectus or any Issuer Free Writing Prospectus or suspending the qualification of the Notes for offering or sale in any jurisdiction, of the initiation or threatening of any proceedings for any such purpose or pursuant to Section 8A of the Securities Act, of receipt by the Company from the Commission of any notice of objection to the use of the Registration Statement or any post-effective amendment thereto or of any request by the Commission for the amending or supplementing of the Registration Statement, the Prospectus or any Issuer Free Writing Prospectus or for additional information; and (vi) will use its reasonable best efforts to prevent the issuance of any stop order or other such order or any such notice of objection and, if a stop order or other such order is issued or any such notice of objection is received, to obtain as soon as possible the lifting or withdrawal thereof. </w:t>
      </w:r>
    </w:p>
    <w:p>
      <w:pPr>
        <w:pStyle w:val="TextBody"/>
        <w:bidi w:val="0"/>
        <w:spacing w:before="240" w:after="0"/>
        <w:jc w:val="left"/>
        <w:rPr>
          <w:rFonts w:ascii="Times New Roman" w:hAnsi="Times New Roman"/>
          <w:sz w:val="20"/>
        </w:rPr>
      </w:pPr>
      <w:r>
        <w:rPr>
          <w:rFonts w:ascii="Times New Roman" w:hAnsi="Times New Roman"/>
          <w:sz w:val="20"/>
        </w:rPr>
        <w:t xml:space="preserve">(b) The Company will prepare and file with the Commission, promptly upon the request of the Representatives, any amendments or supplements to the Registration Statement, the Disclosure Package or the Prospectus which, in the reasonable opinion of the Representatives, may be necessary or advisable in connection with the offering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will furnish to the Representatives and to counsel for the Underwriters, without charge, three signed copies of the Registration Statement (including exhibits thereto) and for delivery to each other Underwriter a conformed copy of the Registration Statement (without exhibits thereto) and to furnish to the Underwriters in New York City, without charge on the business day next succeeding the date of this Agreement and during the period mentioned in Section 4(f) or 4(g) below, as many copies of the Disclosure Package, the Prospectus and any supplements and amendments thereto or to the Registration Statement as the Representatives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(d) Before amending or supplementing the Registration Statement, the Disclosure Package or the Prospectus, to furnish to the Underwriters a copy of each such proposed amendment or supplement and not to file any such proposed amendment or supplement to which the Underwriters reasonably object, and to file with the Commission within the applicable period specified in Rule 424(b) under the Securities Act any prospectus relating to the Notes required to be filed pursuant to such Rule. </w:t>
      </w:r>
    </w:p>
    <w:p>
      <w:pPr>
        <w:pStyle w:val="TextBody"/>
        <w:bidi w:val="0"/>
        <w:spacing w:before="240" w:after="0"/>
        <w:jc w:val="left"/>
        <w:rPr>
          <w:rFonts w:ascii="Times New Roman" w:hAnsi="Times New Roman"/>
          <w:sz w:val="20"/>
        </w:rPr>
      </w:pPr>
      <w:r>
        <w:rPr>
          <w:rFonts w:ascii="Times New Roman" w:hAnsi="Times New Roman"/>
          <w:sz w:val="20"/>
        </w:rPr>
        <w:t xml:space="preserve">(e) The Company will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 </w:t>
      </w:r>
    </w:p>
    <w:p>
      <w:pPr>
        <w:pStyle w:val="TextBody"/>
        <w:bidi w:val="0"/>
        <w:spacing w:before="240" w:after="0"/>
        <w:jc w:val="left"/>
        <w:rPr>
          <w:rFonts w:ascii="Times New Roman" w:hAnsi="Times New Roman"/>
          <w:sz w:val="20"/>
        </w:rPr>
      </w:pPr>
      <w:r>
        <w:rPr>
          <w:rFonts w:ascii="Times New Roman" w:hAnsi="Times New Roman"/>
          <w:sz w:val="20"/>
        </w:rPr>
        <w:t xml:space="preserve">(f) If the Disclosure Package is being used to solicit offers to buy the Notes at a time when the Prospectus is not yet available to prospective purchasers and any event shall occur or condition exist as a result of which it is necessary to amend or supplement the Disclosure Package in order to make the statements therein, in the light of the circumstances, not misleading, or if any event shall occur or condition exist as a result of which the Disclosure Package conflicts with the information contained in the Registration Statement then on file, or if, in the opinion of counsel for the Underwriters, it is necessary to amend or supplement the Disclosure Package to comply with applicable law, forthwith to prepare, the Company will file with the Commission and furnish, at its own expense, to the Underwriters and to any dealer upon request, either amendments or supplements to the Disclosure Package so that the statements in the Disclosure Package as so amended or supplemented will not, in the light of the circumstances when delivered to a prospective purchaser, be misleading or so that the Disclosure Package, as amended or supplemented, will no longer conflict with the Registration Statement, or so that the Disclosure Package, as amended or supplemented, will comply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If, during such period after the first date of the public offering of the Notes as in the opinion of counsel for the Underwriters the Prospectus (or in lieu thereof the notice referred to in Rule 173(a) under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the Company will file with the Commission and furnish, at its own expense, to the Underwriters and to the dealers (whose names and addresses the Representatives will furnish to the Company) to which Notes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To endeavor to qualify the Notes for offer and sale under the securities or Blue Sky laws of such jurisdictions as the Underwriters shall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(i) To make generally available to the Company’s security holders and to the Underwriters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(j) Whether or not the transactions contemplated in this Agreement are consummated or this Agreement is terminated, the Company agrees to pay or cause to be paid all expenses incident to the performance of its obligations under this Agreement, including: (i) the fees, disbursements and expenses of the Company’s counsel and the Company’s accountants in connection with the registration and delivery of the Notes under the Securities Act and all other fees or expenses of the Company in connection with the preparation and filing of the Registration Statement, any preliminary prospectus, the Disclosure Package,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issue, execution, authentication, transfer and delivery of the Notes to the Underwriters, including any stamp, transfer or other taxes payable thereon, (iii) the cost of printing or producing any Blue Sky or legal investment memorandum in connection with the offer and sale of the Notes under state securities laws and all expenses in connection with the qualification of the Notes for offer and sale under state securities laws as provided in Section 4(h) hereof, including filing fees and the reasonable fees and disbursements of counsel for the Underwriters in connection with such qualification and in connection with the Blue Sky or legal investment memorandum (which fees and disbursement of counsel for the Underwriters shall not exceed $12,500), (iv) all filing fees and the reasonable fees and disbursements of counsel to the Underwriters incurred in connection with the review and qualification of the offering of the Financial Industry Regulatory Authority, Inc., which, in the context of this offering, are anticipated to be none, (v) the costs and charges of any transfer agent, registrar or depositary, (vi) the costs and expenses of the Company relating to investor presentations on any “road show” undertaken in connection with the marketing of the offering of the Notes, including, without limitation, expenses associated with the preparation or dissemination of any electronic roadshow, expenses associated with the production of road show slides and graphics, fees and expenses of any consultants engaged in connection with the road show presentations with the prior approval of the Company, (vii) the document production charges and expenses associated with printing this Agreement and (viii) all other costs and expenses incident to the performance of the obligations of the Company hereunder for which provision is not otherwise made in this Section. It is understood, however, that except as provided in this Section and Section 7 entitled “Indemnity and Contribution,” the Underwriters will pay all of their costs and expenses, including fees and disbursements of their counsel and any advertising expenses connected with any offers they may make. If the sale of the Notes provided for herein is not consummated by reason of acts of the Company or changes in circumstances of the Company pursuant to Section 9 of this Agreement which prevent the transactions contemplated by this Agreement from becoming consummated, or by reason of any failure, refusal or inability on the part of the Company or any of its advisors to perform any agreement or fulfill any condition on its part contained herein to be performed, the Company will reimburse the Underwriters for all reasonable out-of-pocket disbursements (including fees and expenses of counsel to the Underwriters) incurred by the Underwriters in connection with any investigation or preparation made by them in respect of the marketing of the Notes or in contemplation of the performance by them of their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Until completion of the distribution of the Notes, the Company will timely file all reports, documents and amendments to previously filed documents required to be filed by it pursuant to Section 12, 13(a), 13(c), 14 or 15(d)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(l) The Company will apply the net proceeds from the sale of the Notes as set forth in the most recent Preliminary Prospectus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(m) Until 30 days following the Closing Date, the Company will not, without the prior written consent of each Representative, directly or indirectly, issue, sell, offer to sell, grant any option for the sale of or otherwise dispose of, any debt securities that are substantially similar to the Notes (including, without limitation, with respect to the maturity, currency, interest rate and other material terms of the Notes). </w:t>
      </w:r>
    </w:p>
    <w:p>
      <w:pPr>
        <w:pStyle w:val="TextBody"/>
        <w:bidi w:val="0"/>
        <w:spacing w:before="240" w:after="0"/>
        <w:jc w:val="left"/>
        <w:rPr>
          <w:rFonts w:ascii="Times New Roman" w:hAnsi="Times New Roman"/>
          <w:sz w:val="20"/>
        </w:rPr>
      </w:pPr>
      <w:r>
        <w:rPr>
          <w:rFonts w:ascii="Times New Roman" w:hAnsi="Times New Roman"/>
          <w:sz w:val="20"/>
        </w:rPr>
        <w:t xml:space="preserve">(n) The Company will pay the required Commission filing fees relating to the Notes within the time period required by Rule 456(b)(1) of the Rules and Regulations without regard to the proviso therein and otherwise in accordance with Rules 456(b) and 457(r) of the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(o) If required by Rule 430B(h) of the Rules and Regulations, the Company will prepare a prospectus in a form approved by the Representatives and file such prospectus pursuant to Rule 424(b) of the Rules and Regulations not later than may be required by such Rule; and the Company will make no further amendment or supplement to such prospectus that will be disapproved by the Representatives promptly after reasonable notice thereof. </w:t>
      </w:r>
    </w:p>
    <w:p>
      <w:pPr>
        <w:pStyle w:val="TextBody"/>
        <w:bidi w:val="0"/>
        <w:spacing w:before="240" w:after="0"/>
        <w:jc w:val="left"/>
        <w:rPr>
          <w:rFonts w:ascii="Times New Roman" w:hAnsi="Times New Roman"/>
          <w:sz w:val="20"/>
        </w:rPr>
      </w:pPr>
      <w:r>
        <w:rPr>
          <w:rFonts w:ascii="Times New Roman" w:hAnsi="Times New Roman"/>
          <w:sz w:val="20"/>
        </w:rPr>
        <w:t xml:space="preserve">(p) The Company will not take, directly or indirectly, any action designed to cause or result in, or that might cause or result in, stabilization or manipulation of the price of the Notes to facilitate the sale or resale of the Notes. </w:t>
      </w:r>
    </w:p>
    <w:p>
      <w:pPr>
        <w:pStyle w:val="TextBody"/>
        <w:bidi w:val="0"/>
        <w:spacing w:before="240" w:after="0"/>
        <w:jc w:val="left"/>
        <w:rPr>
          <w:rFonts w:ascii="Times New Roman" w:hAnsi="Times New Roman"/>
          <w:sz w:val="20"/>
        </w:rPr>
      </w:pPr>
      <w:r>
        <w:rPr>
          <w:rFonts w:ascii="Times New Roman" w:hAnsi="Times New Roman"/>
          <w:sz w:val="20"/>
        </w:rPr>
        <w:t xml:space="preserve">(q) The Company will comply with all agreements set forth in the representation letters of the Company to DTC relating to the acceptance of the Notes for “book-entry” transfer through the facilities of DTC.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Free Writing Prospectuses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represents and warrants to, and agrees with, each Underwriter that (i) the Company has not made, and will not make, any offer relating to the Notes that would constitute an Issuer Free Writing Prospectus without the prior consent of each Representative (which consent being deemed to have been given with respect to (A) the Final Term Sheet prepared and filed pursuant to Section 4(a) hereof and (B) any other Issuer Free Writing Prospectus identified on Schedule II hereto); (ii) each Issuer Free Writing Prospectus conformed or will conform in all material respects to the requirements of the Securities Act and the Rules and Regulations on the date of first use, and the Company has complied with any filing requirements applicable to such Issuer Free Writing Prospectus pursuant to Rule 433 of the Rules and Regulations; (iii) each Issuer Free Writing Prospectus will not, as of its issue date and through the time the Notes are delivered pursuant to Section 3 hereof, include any information that conflicts with the information contained in the Registration Statement, the most recent Preliminary Prospectus and the Prospectus; and (iv) each Issuer Free Writing Prospectus, when considered together with the information contained in the most recent Preliminary Prospectus, did not, as of the Applicable Time, does not, as of the date hereof, and will not, as of the Closing Date, contain any untrue statement of a material fact or omit to state any material fact required to be stated therein or necessary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Underwriter represents and warrants to, and agrees with, the Company and each other Underwriter that it has not made, and will not make any offer relating to the Notes that would constitute a “free writing prospectus” (as defined in Rule 405 of the Rules and Regulations) required to be filed with the Commission, without the prior consent of the Company and each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agrees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any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or other document which will correct such conflict,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Conditions of Underwriters’ Obligations</w:t>
      </w:r>
      <w:r>
        <w:rPr>
          <w:rFonts w:ascii="Times New Roman" w:hAnsi="Times New Roman"/>
          <w:sz w:val="20"/>
        </w:rPr>
        <w:t xml:space="preserve">. The obligations of the Underwriters hereunder are subject to the accuracy, as of the date hereof and the Closing Date (as if made at the Closing Date), of the representations and warranties of the Company contained herein, to the performance by the Company of its obligations hereunder and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Prospectus shall have been filed with the Commission in a timely fashion in accordance with Section 4(a) hereof; all filings (including, without limitation, the Final Term Sheet) required by Rule 424(b) or Rule 433 of the Rules and Regulations shall have been made within the time periods prescribed by such Rules, and no such filings will have been made without the consent of each Representative; no stop order suspending the effectiveness of the Registration Statement or any amendment or supplement thereto, preventing or suspending the use of any Preliminary Prospectus, any Issuer Free Writing Prospectus or the Prospectus, or suspending the qualification of the Notes for offering or sale in any jurisdiction shall have been issued; no proceedings for the issuance of any such order shall have been initiated or threatened pursuant to Section 8A of the Securities Act; no notice of objection of the Commission to use the Registration Statement or any post-effective amendment thereto shall have been received by the Company; and any request of the Commission for additional information (to be included in the Registration Statement or the Prospectus or otherwise) shall have been disclosed to the Representatives and complied with to the Representatives’ satisfaction. </w:t>
      </w:r>
    </w:p>
    <w:p>
      <w:pPr>
        <w:pStyle w:val="TextBody"/>
        <w:bidi w:val="0"/>
        <w:spacing w:before="240" w:after="0"/>
        <w:jc w:val="left"/>
        <w:rPr>
          <w:rFonts w:ascii="Times New Roman" w:hAnsi="Times New Roman"/>
          <w:sz w:val="20"/>
        </w:rPr>
      </w:pPr>
      <w:r>
        <w:rPr>
          <w:rFonts w:ascii="Times New Roman" w:hAnsi="Times New Roman"/>
          <w:sz w:val="20"/>
        </w:rPr>
        <w:t xml:space="preserve">(b) No Underwriter shall have been advised by the Company, or shall have discovered and disclosed to the Company, that the Registration Statement, the most recent Preliminary Prospectus, the Prospectus, any Issuer Free Writing Prospectus or any amendment or supplement thereto contains an untrue statement of fact which, in the opinion of each Representative or of counsel to the Underwriters, is material, or omits to state any fact which, in the opinion of each Representative or of counsel to the Underwriters, is material and is required to be stated therein or is necessary to make the statements therein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(c) The Representatives shall have received from Simpson Thacher &amp; Bartlett LLP, counsel to the Underwriters, their opinion and negative assurance letter, addressed to the Underwriters, dated the Closing Date and in form and substance satisfactory to the Representatives, with respect to the Notes, Indenture, Registration Statement, Prospectus and Disclosure Package and other related matters as the Representatives may reasonably require, and the Company shall have furnished to such counsel such documents as they may reasonably request for the purpose of enabling them to pass upon such matters. </w:t>
      </w:r>
    </w:p>
    <w:p>
      <w:pPr>
        <w:pStyle w:val="TextBody"/>
        <w:bidi w:val="0"/>
        <w:spacing w:before="240" w:after="0"/>
        <w:jc w:val="left"/>
        <w:rPr>
          <w:rFonts w:ascii="Times New Roman" w:hAnsi="Times New Roman"/>
          <w:sz w:val="20"/>
        </w:rPr>
      </w:pPr>
      <w:r>
        <w:rPr>
          <w:rFonts w:ascii="Times New Roman" w:hAnsi="Times New Roman"/>
          <w:sz w:val="20"/>
        </w:rPr>
        <w:t xml:space="preserve">(d) The Representatives shall have received from Fried, Frank, Harris, Shriver &amp; Jacobson LLP, special counsel to the Company, their opinion, addressed to the Underwriters, dated the Closing Date, substantially in the form set forth in </w:t>
      </w:r>
      <w:r>
        <w:rPr>
          <w:rFonts w:ascii="Times New Roman" w:hAnsi="Times New Roman"/>
          <w:sz w:val="20"/>
          <w:u w:val="single"/>
        </w:rPr>
        <w:t>Exhibit A</w:t>
      </w:r>
      <w:r>
        <w:rPr>
          <w:rFonts w:ascii="Times New Roman" w:hAnsi="Times New Roman"/>
          <w:sz w:val="20"/>
        </w:rPr>
        <w:t xml:space="preserve">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Representatives shall have received from Holland &amp; Knight LLP, counsel to the Company, their opinion and negative assurance letter, addressed to the Underwriters, dated the Closing Date, substantially in the form set forth in </w:t>
      </w:r>
      <w:r>
        <w:rPr>
          <w:rFonts w:ascii="Times New Roman" w:hAnsi="Times New Roman"/>
          <w:sz w:val="20"/>
          <w:u w:val="single"/>
        </w:rPr>
        <w:t>Exhibit B</w:t>
      </w:r>
      <w:r>
        <w:rPr>
          <w:rFonts w:ascii="Times New Roman" w:hAnsi="Times New Roman"/>
          <w:sz w:val="20"/>
        </w:rPr>
        <w:t xml:space="preserv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The Representatives shall have received a certificate, dated the Closing Date, signed by an executive officer of the Company, to the effect that: (i) the representations and warranties of the Company in this Agreement are true and correct, as if made at and as of the Closing Date, and the Company has complied with all the agreements and satisfied all the conditions on its part to be complied with or satisfied at or prior to the Closing Date; (ii) no stop order suspending the effectiveness of the Registration Statement has been issued, no proceedings for any such purpose have been initiated or, to the knowledge of such officers, threatened; and the Commission has not notified the Company of any objection to the use of the form of Registration Statement or any post-effective amendment thereto; (iii) all filings required by Rule 424(b) or Rule 433 of the Rules and Regulations have been made within the time periods prescribed by such Rules; (iv) the signer of such certificate has carefully examined the Registration Statement, the most recent Preliminary Prospectus, the Disclosure Package and the Prospectus, and any amendments or supplements thereto (including any documents incorporated or deemed to be incorporated by reference into the most recent Preliminary Prospectus and the Prospectus), and, in such signer’s opinion, the Registration Statement as of the Effective Date, the Disclosure Package, as of the Applicable Time, and the Prospectus, as of its date, did not and, on the Closing Date, do not include any untrue statement of a material fact or omit to state any material fact required to be stated therein or necessary to make the statements therein not misleading; (v) since the initial Effective Date of the Registration Statement, there has occurred no event required to be set forth in an amendment or supplement to the Registration Statement, the most recent Preliminary Prospectus or the Prospectus which has not been so set forth and there has been no document required to be filed under the Securities Act and the Rules and Regulations or the Exchange Act and the Exchange Act Regulations that upon such filing would be deemed to be incorporated by reference into the Registration Statement, the most recent Preliminary Prospectus or the Prospectus that has not been so filed; and (vi) no event contemplated by Section 6(g) hereof has occurred. </w:t>
      </w:r>
    </w:p>
    <w:p>
      <w:pPr>
        <w:pStyle w:val="TextBody"/>
        <w:bidi w:val="0"/>
        <w:spacing w:before="240" w:after="0"/>
        <w:jc w:val="left"/>
        <w:rPr>
          <w:rFonts w:ascii="Times New Roman" w:hAnsi="Times New Roman"/>
          <w:sz w:val="20"/>
        </w:rPr>
      </w:pPr>
      <w:r>
        <w:rPr>
          <w:rFonts w:ascii="Times New Roman" w:hAnsi="Times New Roman"/>
          <w:sz w:val="20"/>
        </w:rPr>
        <w:t xml:space="preserve">(g) Subsequent to the execution and delivery of this Agreement and prior to the Closing Date, there shall not have occurred any change, or any development involving a prospective change, in the condition, financial or otherwise, or in the earnings, business or operations of the Company and its subsidiaries, taken as a whole, from that set forth in the Disclosure Package as of the date of this Agreement that, in the Representatives’ respective judgment, is material and adverse and that makes it, in the Representatives’ respective judgment, impracticable to market the Notes on the terms and in the manner contemplated in the Disclosure Package. </w:t>
      </w:r>
    </w:p>
    <w:p>
      <w:pPr>
        <w:pStyle w:val="TextBody"/>
        <w:bidi w:val="0"/>
        <w:spacing w:before="240" w:after="0"/>
        <w:jc w:val="left"/>
        <w:rPr>
          <w:rFonts w:ascii="Times New Roman" w:hAnsi="Times New Roman"/>
          <w:sz w:val="20"/>
        </w:rPr>
      </w:pPr>
      <w:r>
        <w:rPr>
          <w:rFonts w:ascii="Times New Roman" w:hAnsi="Times New Roman"/>
          <w:sz w:val="20"/>
        </w:rPr>
        <w:t>(h) Concurrently with the execution of this Agreement, the Representatives shall have received from PricewaterhouseCoopers LLP, the Company’s independent registered public accounting firm, a “comfort” letter (the “</w:t>
      </w:r>
      <w:r>
        <w:rPr>
          <w:rFonts w:ascii="Times New Roman" w:hAnsi="Times New Roman"/>
          <w:b/>
          <w:sz w:val="20"/>
        </w:rPr>
        <w:t>initial PwC comfort letter</w:t>
      </w:r>
      <w:r>
        <w:rPr>
          <w:rFonts w:ascii="Times New Roman" w:hAnsi="Times New Roman"/>
          <w:sz w:val="20"/>
        </w:rPr>
        <w:t xml:space="preserve">”) addressed to the Representatives on behalf of the Underwriters, dated the date hereof, and in form and substance satisfactory to the Representatives (i) confirming that they are an independent registered public accounting firm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most recent Preliminary Prospectus, as of a date not more than three days prior to the date hereof), the conclusions and findings of such firm with respect to the financial information and other matters ordinarily covered by accountants’ “comfort letters” to underwriters in connection with registered public offerings.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Concurrently with the execution of this Agreement, the Representatives shall have received from BDO USA, P.C., a “comfort” letter (the “</w:t>
      </w:r>
      <w:r>
        <w:rPr>
          <w:rFonts w:ascii="Times New Roman" w:hAnsi="Times New Roman"/>
          <w:b/>
          <w:sz w:val="20"/>
        </w:rPr>
        <w:t>initial BDO comfort letter</w:t>
      </w:r>
      <w:r>
        <w:rPr>
          <w:rFonts w:ascii="Times New Roman" w:hAnsi="Times New Roman"/>
          <w:sz w:val="20"/>
        </w:rPr>
        <w:t xml:space="preserve">”) addressed to the Representatives on behalf of the Underwriters, dated the date hereof, and in form and substance satisfactory to the Representatives (i) confirming that they are an independent registered public accounting firm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most recent Preliminary Prospectus, as of a date not more than three days prior to the date hereof), the conclusions and findings of such firm with respect to the financial information and other matters ordinarily covered by accountants’ “comfort letters” to underwriters in connection with registered public offerings. </w:t>
      </w:r>
    </w:p>
    <w:p>
      <w:pPr>
        <w:pStyle w:val="TextBody"/>
        <w:bidi w:val="0"/>
        <w:spacing w:before="240" w:after="0"/>
        <w:jc w:val="left"/>
        <w:rPr>
          <w:rFonts w:ascii="Times New Roman" w:hAnsi="Times New Roman"/>
          <w:sz w:val="20"/>
        </w:rPr>
      </w:pPr>
      <w:r>
        <w:rPr>
          <w:rFonts w:ascii="Times New Roman" w:hAnsi="Times New Roman"/>
          <w:sz w:val="20"/>
        </w:rPr>
        <w:t>(j) Concurrently with the execution of this Agreement, the Representatives shall have received from Deloitte &amp; Touch LLP, IEA LLC’s independent registered public accounting firm, a “comfort” letter (the “</w:t>
      </w:r>
      <w:r>
        <w:rPr>
          <w:rFonts w:ascii="Times New Roman" w:hAnsi="Times New Roman"/>
          <w:b/>
          <w:sz w:val="20"/>
        </w:rPr>
        <w:t>initial Deloitte comfort letter</w:t>
      </w:r>
      <w:r>
        <w:rPr>
          <w:rFonts w:ascii="Times New Roman" w:hAnsi="Times New Roman"/>
          <w:sz w:val="20"/>
        </w:rPr>
        <w:t>” together with the initial PwC comfort letter and the initial BDO comfort letter, the “</w:t>
      </w:r>
      <w:r>
        <w:rPr>
          <w:rFonts w:ascii="Times New Roman" w:hAnsi="Times New Roman"/>
          <w:b/>
          <w:sz w:val="20"/>
        </w:rPr>
        <w:t>initial comfort letters</w:t>
      </w:r>
      <w:r>
        <w:rPr>
          <w:rFonts w:ascii="Times New Roman" w:hAnsi="Times New Roman"/>
          <w:sz w:val="20"/>
        </w:rPr>
        <w:t xml:space="preserve">”) addressed to the Representatives on behalf of the Underwriters, dated the date hereof, and in form and substance satisfactory to the Representatives (i) confirming that they are an independent registered public accounting firm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most recent Preliminary Prospectus, as of a date not more than three days prior to the date hereof), the conclusions and findings of such firm with respect to the financial information and other matters ordinarily covered by accountants’ “comfort letters” to underwriters in connection with registered public offerings. </w:t>
      </w:r>
    </w:p>
    <w:p>
      <w:pPr>
        <w:pStyle w:val="TextBody"/>
        <w:bidi w:val="0"/>
        <w:spacing w:before="240" w:after="0"/>
        <w:jc w:val="left"/>
        <w:rPr>
          <w:rFonts w:ascii="Times New Roman" w:hAnsi="Times New Roman"/>
          <w:sz w:val="20"/>
        </w:rPr>
      </w:pPr>
      <w:r>
        <w:rPr>
          <w:rFonts w:ascii="Times New Roman" w:hAnsi="Times New Roman"/>
          <w:sz w:val="20"/>
        </w:rPr>
        <w:t>(k) The Representatives shall have received a “bring-down comfort” letters (the “</w:t>
      </w:r>
      <w:r>
        <w:rPr>
          <w:rFonts w:ascii="Times New Roman" w:hAnsi="Times New Roman"/>
          <w:b/>
          <w:sz w:val="20"/>
        </w:rPr>
        <w:t>bring-down comfort letters</w:t>
      </w:r>
      <w:r>
        <w:rPr>
          <w:rFonts w:ascii="Times New Roman" w:hAnsi="Times New Roman"/>
          <w:sz w:val="20"/>
        </w:rPr>
        <w:t xml:space="preserve">”) from each of PricewaterhouseCoopers LLP, BDO USA, LLP and Deloitte &amp; Touche, LLP, addressed to the Representatives on behalf of the Underwriters, dated the Closing Date, and in form and substance satisfactory to the Representatives (i) confirming that they are each an independent registered public accounting firm within the meaning of the Securities Act and are in compliance with the applicable requirements relating to the qualification of accountants under Rule 2-01 of Regulation S-X of the Commission, (ii) stating, as of the date of each bring-down comfort letter (or, with respect to matters involving changes or developments since the respective dates as of which specified financial information is given in the Prospectus, as of a date not more than three days prior to the date of such bring-down comfort letter), the conclusions and findings of each firm with respect to the financial information and other matters covered by the initial comfort letters and (iii) confirming in all material respects the conclusions and findings set forth in the initial comfort letters. </w:t>
      </w:r>
    </w:p>
    <w:p>
      <w:pPr>
        <w:pStyle w:val="TextBody"/>
        <w:bidi w:val="0"/>
        <w:spacing w:before="240" w:after="0"/>
        <w:jc w:val="left"/>
        <w:rPr>
          <w:rFonts w:ascii="Times New Roman" w:hAnsi="Times New Roman"/>
          <w:sz w:val="20"/>
        </w:rPr>
      </w:pPr>
      <w:r>
        <w:rPr>
          <w:rFonts w:ascii="Times New Roman" w:hAnsi="Times New Roman"/>
          <w:sz w:val="20"/>
        </w:rPr>
        <w:t xml:space="preserve">(l) The Representatives shall have received a certificate, on and dated as of each of the date of this Agreement and the Closing Date, of the chief financial officer of the Company with respect to certain financial data contained in the Registration Statement, Preliminary Prospectus and the Prospectus, providing “management comfort” with respect to such information,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(m) Prior to or on the Closing Date, the Representatives shall have been furnished by the Company such additional documents and certificates as the Representatives or counsel for the Underwriters may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Subsequent to the execution and delivery of this Agreement, (i) no downgrading shall have occurred in the rating accorded to the debt securities of the Company or any of its Subsidiaries by any “nationally recognized statistical rating organization” (as that term is defined in Rule 436(g)(2) of the Rules and Regulations), and (ii) no such organization shall have publicly announced that it has any such debt securities under surveillance or review with possible negative implications. </w:t>
      </w:r>
    </w:p>
    <w:p>
      <w:pPr>
        <w:pStyle w:val="TextBody"/>
        <w:bidi w:val="0"/>
        <w:spacing w:before="240" w:after="0"/>
        <w:jc w:val="left"/>
        <w:rPr>
          <w:rFonts w:ascii="Times New Roman" w:hAnsi="Times New Roman"/>
          <w:sz w:val="20"/>
        </w:rPr>
      </w:pPr>
      <w:r>
        <w:rPr>
          <w:rFonts w:ascii="Times New Roman" w:hAnsi="Times New Roman"/>
          <w:sz w:val="20"/>
        </w:rPr>
        <w:t xml:space="preserve">(o) Subsequent to the execution and delivery of this Agreement, there shall not have occurred any of the following: (i) trading in securities generally on the New York Stock Exchange or the American Stock Exchange or in the over-the-counter market, or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banking moratorium shall have been declared by federal or state authorities; (iii) the United States shall have become engaged in hostilities, there shall have been an escalation in hostilities involving the United States or there shall have been a declaration of a national emergency or war by the United States;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as to make it, in the respective judgment of the Representatives, impracticable or inadvisable to proceed with the offering of the Notes or on the terms and in the manner contemplated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All opinions, certificates, letters and documents referred to in this Section 6 will be in compliance with the provisions of this Agreement only if they are satisfactory in form and substance to the Representatives and to counsel for the Underwriters. The Company will furnish to the Representatives conformed copies of such opinions, certificates, letters and other documents in such number as the Representatives will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Indemnification and Contribution</w:t>
      </w:r>
      <w:r>
        <w:rPr>
          <w:rFonts w:ascii="Times New Roman" w:hAnsi="Times New Roman"/>
          <w:sz w:val="20"/>
        </w:rPr>
        <w:t>. (a) 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Disclosure Package, any issuer free writing prospectus as defined in Rule 433(h) under the Securities Act, any Company information that the Company has filed, or is required to file, pursuant to Rule 433(d) of the Securities Act, any “road show” (as defined in Rule 433) not constituting an issuer free writing prospectus as defined in Rule 433(h) under the Securities Act (a “</w:t>
      </w:r>
      <w:r>
        <w:rPr>
          <w:rFonts w:ascii="Times New Roman" w:hAnsi="Times New Roman"/>
          <w:b/>
          <w:sz w:val="20"/>
        </w:rPr>
        <w:t>Non-Prospectus Road Show</w:t>
      </w:r>
      <w:r>
        <w:rPr>
          <w:rFonts w:ascii="Times New Roman" w:hAnsi="Times New Roman"/>
          <w:sz w:val="20"/>
        </w:rPr>
        <w:t xml:space="preserve">”) or the Prospectus or any amendment or supplement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the Representatives expressly for use therein (which information is specified in Section 12 hereof). </w:t>
      </w:r>
    </w:p>
    <w:p>
      <w:pPr>
        <w:pStyle w:val="TextBody"/>
        <w:bidi w:val="0"/>
        <w:spacing w:before="240" w:after="0"/>
        <w:jc w:val="left"/>
        <w:rPr>
          <w:rFonts w:ascii="Times New Roman" w:hAnsi="Times New Roman"/>
          <w:sz w:val="20"/>
        </w:rPr>
      </w:pPr>
      <w:r>
        <w:rPr>
          <w:rFonts w:ascii="Times New Roman" w:hAnsi="Times New Roman"/>
          <w:sz w:val="20"/>
        </w:rPr>
        <w:t xml:space="preserve">(b) 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only with reference to information relating to such Underwriter furnished to the Company in writing by such Underwriter through the Representatives expressly for use in the Registration Statement, any preliminary prospectus, the Disclosure Package, any issuer free writing prospectus, Non-Prospectus Road Show or the Prospectus or any amendment or supplement thereto (which information is specified in Section 12 hereof). </w:t>
      </w:r>
    </w:p>
    <w:p>
      <w:pPr>
        <w:pStyle w:val="TextBody"/>
        <w:bidi w:val="0"/>
        <w:spacing w:before="240" w:after="0"/>
        <w:jc w:val="left"/>
        <w:rPr>
          <w:rFonts w:ascii="Times New Roman" w:hAnsi="Times New Roman"/>
          <w:sz w:val="20"/>
        </w:rPr>
      </w:pPr>
      <w:r>
        <w:rPr>
          <w:rFonts w:ascii="Times New Roman" w:hAnsi="Times New Roman"/>
          <w:sz w:val="20"/>
        </w:rPr>
        <w:t>(c) In case any proceeding (including any governmental investigation) shall be instituted involving any person in respect of which indemnity may be sought pursuant to Section 7(a) or 7(b), such person (the “</w:t>
      </w:r>
      <w:r>
        <w:rPr>
          <w:rFonts w:ascii="Times New Roman" w:hAnsi="Times New Roman"/>
          <w:b/>
          <w:sz w:val="20"/>
        </w:rPr>
        <w:t>indemnified party</w:t>
      </w:r>
      <w:r>
        <w:rPr>
          <w:rFonts w:ascii="Times New Roman" w:hAnsi="Times New Roman"/>
          <w:sz w:val="20"/>
        </w:rPr>
        <w:t>”) shall promptly notify the person against whom such indemnity may be sought (the “</w:t>
      </w:r>
      <w:r>
        <w:rPr>
          <w:rFonts w:ascii="Times New Roman" w:hAnsi="Times New Roman"/>
          <w:b/>
          <w:sz w:val="20"/>
        </w:rPr>
        <w:t>indemnifying party</w:t>
      </w:r>
      <w:r>
        <w:rPr>
          <w:rFonts w:ascii="Times New Roman" w:hAnsi="Times New Roman"/>
          <w:sz w:val="20"/>
        </w:rPr>
        <w:t xml:space="preserve">”)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7(a), and by the Company, in the case of parties indemnified pursuant to Section 7(b).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the indemnification provided for in Section 7(a) or 7(b)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Notes or (ii) if the allocation provided by clause 7(d)(i) above is not permitted by applicable law, in such proportion as is appropriate to reflect not only the relative benefits referred to in clause 7(d)(i)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Notes shall be deemed to be in the same respective proportions as the net proceeds from the offering of the Notes (before deducting expenses) received by the Company and the total underwriting discounts and commissions received by the Underwriters, in each case as set forth in the table on the cover of the Prospectus, bear to the aggregate public offering price of the Notes. The relative fault of the Company on the one hand and the Underwriters on the other hand shall be determined by reference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7 are several in proportion to the respective number of Notes they have purchased hereunder, and not joint. </w:t>
      </w:r>
    </w:p>
    <w:p>
      <w:pPr>
        <w:pStyle w:val="TextBody"/>
        <w:bidi w:val="0"/>
        <w:spacing w:before="240" w:after="0"/>
        <w:jc w:val="left"/>
        <w:rPr>
          <w:rFonts w:ascii="Times New Roman" w:hAnsi="Times New Roman"/>
          <w:sz w:val="20"/>
        </w:rPr>
      </w:pPr>
      <w:r>
        <w:rPr>
          <w:rFonts w:ascii="Times New Roman" w:hAnsi="Times New Roman"/>
          <w:sz w:val="20"/>
        </w:rPr>
        <w:t xml:space="preserve">(e) The Company and the Underwriters agree that it would not be just or equitable if contribution pursuant to this Section 7 were determined by pro rata allocation (even if the Underwriters were treated as one entity for such purpose) or by any other method of allocation that does not take account of the equitable considerations referred to in Section 7(d). The amount paid or payable by an indemnified party as a result of the losses, claims, damages and liabilities referred to in Section 7(d) shall be deemed to include, subject to the limitations set forth above, any legal or other expenses reasonably incurred by such indemnified party in connection with investigating or defending any such action or claim. Notwithstanding the provisions of this Section 7, no Underwriter shall be required to contribute any amount in excess of the amount by which the total price at which the Notes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7 are not exclusive and shall not limit any rights or remedies which may otherwise be available to any indemnified party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(f) The indemnity and contribution provisions contained in this Section 7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Notes.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Substitution of Underwriters</w:t>
      </w:r>
      <w:r>
        <w:rPr>
          <w:rFonts w:ascii="Times New Roman" w:hAnsi="Times New Roman"/>
          <w:sz w:val="20"/>
        </w:rPr>
        <w:t xml:space="preserve">. If any Underwriter defaults in its obligation to purchase the principal amount of the Notes which it has agreed to purchase under this Agreement, the non-defaulting Underwriters will be obligated to purchase (in the respective proportions which the principal amount of the Notes set forth opposite the name of each non-defaulting Underwriter in Schedule I hereto bears to the total principal amount of the Notes less the principal amount of the Notes the defaulting Underwriter agreed to purchase set forth in Schedule I hereto) the principal amount of the Notes which the defaulting Underwriter agreed but failed to purchase; except that the non-defaulting Underwriters will not be obligated to purchase any of the Notes if the total principal amount of the Notes which the defaulting Underwriter or Underwriters agreed but failed to purchase exceeds 9.09% of the total principal amount of the Notes, and any non-defaulting Underwriters will not be obligated to purchase more than 110% of the principal amount of the Notes set forth opposite its name in Schedule I hereto. If the foregoing maximums are exceeded, the non-defaulting Underwriters, and any other underwriters satisfactory to the Representatives who so agree, will have the right, but will not be obligated, to purchase (in such proportions as may be agreed upon among them) all of the Notes. If the non-defaulting Underwriters or the other underwriters satisfactory to the Underwriters do not elect to purchase the Notes that the defaulting Underwriter or Underwriters agreed but failed to purchase within 36 hours after such default, this Agreement will terminate without liability on the part of any non-defaulting Underwriter or the Company, except for the indemnity and contribution agreements of the Company and the Underwriters contained in Section 7 of this Agreement. As used in this Agreement, the term “Underwriter” includes any person substituted for an Underwriter pursuant to this Section 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non-defaulting Underwriters or the other underwriters satisfactory to the Representatives are obligated or agree to purchase the Notes of a defaulting Underwriter, the Representatives may postpone the Closing Date for up to seven full Business Days in order that the Company may effect any changes that may be necessary in the Registration Statement or the Prospectus or in any other document or agreement, and the Company agrees to file promptly any amendments or any supplements to the Registration Statement or the Prospectus which, in the opinion of the Representatives, may thereby be made necessary.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will relieve a defaulting Underwriter of any liability it may have for damages caused by its default.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Termination</w:t>
      </w:r>
      <w:r>
        <w:rPr>
          <w:rFonts w:ascii="Times New Roman" w:hAnsi="Times New Roman"/>
          <w:sz w:val="20"/>
        </w:rPr>
        <w:t xml:space="preserve">. Until the Closing Date, this Agreement may be terminated by the Representatives on behalf of the Underwriters by giving notice as hereinafter provided to the Company if (i) the Company will have failed, refused or been unable, at or prior to the Closing Date, to perform any agreement on its part to be performed hereunder, (ii) any of the events described in Sections 6(g), 6(n) and 6(o) of this Agreement, shall have occurred, or (iii) any other condition to the Underwriters’ obligations hereunder is not fulfilled when required hereby. Any termination of this Agreement pursuant to this Section 9 will be without liability on the part of the Company or any Underwriter, except as otherwise provided in Sections 4(j) and 7 hereof. </w:t>
      </w:r>
    </w:p>
    <w:p>
      <w:pPr>
        <w:pStyle w:val="TextBody"/>
        <w:bidi w:val="0"/>
        <w:spacing w:before="240" w:after="0"/>
        <w:jc w:val="left"/>
        <w:rPr>
          <w:rFonts w:ascii="Times New Roman" w:hAnsi="Times New Roman"/>
          <w:sz w:val="20"/>
        </w:rPr>
      </w:pPr>
      <w:r>
        <w:rPr>
          <w:rFonts w:ascii="Times New Roman" w:hAnsi="Times New Roman"/>
          <w:sz w:val="20"/>
        </w:rPr>
        <w:t xml:space="preserve">Any notice referred to above may be given at the address specified in Section 11 of this Agreement in writing or by telegraph or telephone, and if by telegraph or telephone, will be immediately confirmed in writing.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Survival of Certain Provisions</w:t>
      </w:r>
      <w:r>
        <w:rPr>
          <w:rFonts w:ascii="Times New Roman" w:hAnsi="Times New Roman"/>
          <w:sz w:val="20"/>
        </w:rPr>
        <w:t xml:space="preserve">. The agreements contained in Section 7 of this Agreement and the representations, warranties and agreements of the Company contained in Sections 1 and 4 of this Agreement and the provisions of Sections 15, 18, 19 and 20 of this Agreement will survive the delivery of the Notes to the Underwriters hereunder and will remain in full force and effect, regardless of any termination or cancellation of this Agreement or any investigation made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Notices</w:t>
      </w:r>
      <w:r>
        <w:rPr>
          <w:rFonts w:ascii="Times New Roman" w:hAnsi="Times New Roman"/>
          <w:sz w:val="20"/>
        </w:rPr>
        <w:t xml:space="preserve">. Except as otherwise provided in this Agreement, (a) whenever notice is required by the provisions of this Agreement to be given to the Company, such notice will be in writing by mail, telex or facsimile transmission addressed to the Company at 800 S. Douglas Road, 12th Floor, Coral Gables, Florida 33134, facsimile number (305) 406-1907, Attention: Alberto de Cardenas, Esq., and (b) whenever notice is required by the provisions of this Agreement to be given to the several Underwriters, such notice will be in writing by mail, telex or facsimile transmission addressed to the Representatives in care of (a) PNC Capital Markets LLC, 300 Fifth Avenue, 10th Floor Pittsburgh, Pennsylvania 15222, Attention: Debt Capital Markets, Fixed Income Transaction Execution, Email: capitalmarketsnotices@pnc.com; (b) Truist Securities, Inc., 50 Hudson Yards, 70th Floor, New York, New York 10001, Attention: Investment Grade Debt Capital Markets Transaction Management/Legal, Facsimile: (404) 926-5027; or (c) Wells Fargo Securities, LLC, 550 South Tryon Street, 5th Floor, Charlotte, North Carolina 28202, Attention: Transaction Management, Facsimile: (704) 410-0326, Email: tmgcapitalmarkets@wellsfargo.com.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Information Furnished by Underwriters</w:t>
      </w:r>
      <w:r>
        <w:rPr>
          <w:rFonts w:ascii="Times New Roman" w:hAnsi="Times New Roman"/>
          <w:sz w:val="20"/>
        </w:rPr>
        <w:t xml:space="preserve">. The Underwriters severally confirm that the information appearing in the list of names of each of the Underwriters under the caption “Underwriting (Conflicts of Interest)” in the most recent Preliminary Prospectus and the Prospectus and the statements in the first and second sentence of the fifth paragraph, the third sentence of the seventh paragraph and the first, second and third sentences of the tenth paragraph under the caption “Underwriting (Conflicts of Interest)” in the most recent Preliminary Prospectus and the Prospectus, constitute the only written information furnished to the Company by the Representatives on behalf of the Underwriters, referred to in Sections 1(e), 7(a) and 7(b)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Research Analyst Independence</w:t>
      </w:r>
      <w:r>
        <w:rPr>
          <w:rFonts w:ascii="Times New Roman" w:hAnsi="Times New Roman"/>
          <w:sz w:val="20"/>
        </w:rPr>
        <w:t xml:space="preserve">. The Company acknowledges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of the Notes that differ from the views of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Nature of Relationship</w:t>
      </w:r>
      <w:r>
        <w:rPr>
          <w:rFonts w:ascii="Times New Roman" w:hAnsi="Times New Roman"/>
          <w:sz w:val="20"/>
        </w:rPr>
        <w:t xml:space="preserve">. The Company acknowledges and agrees that in connection with the offering and the sale of the Notes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Company, on the one hand, and the Underwriters, on the other hand, exists; (ii) the Underwriters are not acting as advisors, experts or otherwise, to the Company, including, without limitation, with respect to the determination of the public offering price of the Notes and any related discounts and commissions, and such relationship between the Company, on the one hand, and the Underwriters, on the other hand, is entirely and solely a commercial relationship, based on arms-length negotiations; (iii) any duties and obligations that the Underwriters may have to the Company shall be limited to those duties and obligations specifically stated herein; (iv) the Underwriters and their respective affiliates may be engaged in a broad range of transactions that involve interests that differ from those of the Company; and (v) the Underwriters have not provided any legal, accounting, regulatory, investment or tax advice with respect to the offering of the Notes and the Company has consulted its own respective legal, accounting, financial, regulatory and tax advisors to the extent it deemed appropriate. The Company hereby waive any claims that the Company may have against the Underwriters with respect to any breach of fiduciary duty in connection with this offering.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Parties</w:t>
      </w:r>
      <w:r>
        <w:rPr>
          <w:rFonts w:ascii="Times New Roman" w:hAnsi="Times New Roman"/>
          <w:sz w:val="20"/>
        </w:rPr>
        <w:t xml:space="preserve">. This Agreement will inure to the benefit of and be binding upon the several Underwriters, the Company and their respective successors. This Agreement and the terms and provisions hereof are for the sole benefit of only those persons, except that (a) the representations, warranties, indemnities and agreements contained in this Agreement will also be deemed to be for the benefit of the person or persons, if any, who control any Underwriter or the Company within the meaning of Section 15 of the Securities Act and each affiliate of any Underwriter within the meaning of Rule 405 under the Securities Act and (b) the indemnification agreement of the Underwriters contained in Section 7 of this Agreement will be deemed to be for the benefit of directors of the Company, officers of the Company who signed the Registration Statement and any person controlling the Company within the meaning of Section 15 of the Securities Act. Nothing in this Agreement will be construed to give any person, other than the persons referred to in this paragraph, any legal or equitable right, remedy or claim under or in respect of this Agreement or any provision contained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Definition of “Business Day” and “Subsidiary.”</w:t>
      </w:r>
      <w:r>
        <w:rPr>
          <w:rFonts w:ascii="Times New Roman" w:hAnsi="Times New Roman"/>
          <w:sz w:val="20"/>
        </w:rPr>
        <w:t xml:space="preserve"> For purposes of this Agreement, (a) “</w:t>
      </w:r>
      <w:r>
        <w:rPr>
          <w:rFonts w:ascii="Times New Roman" w:hAnsi="Times New Roman"/>
          <w:b/>
          <w:sz w:val="20"/>
        </w:rPr>
        <w:t>Business Day</w:t>
      </w:r>
      <w:r>
        <w:rPr>
          <w:rFonts w:ascii="Times New Roman" w:hAnsi="Times New Roman"/>
          <w:sz w:val="20"/>
        </w:rPr>
        <w:t>” means any day on which the New York Stock Exchange is open for trading, other than any day on which commercial banks are authorized or required to be closed in New York City and (b) “</w:t>
      </w:r>
      <w:r>
        <w:rPr>
          <w:rFonts w:ascii="Times New Roman" w:hAnsi="Times New Roman"/>
          <w:b/>
          <w:sz w:val="20"/>
        </w:rPr>
        <w:t>Subsidiary</w:t>
      </w:r>
      <w:r>
        <w:rPr>
          <w:rFonts w:ascii="Times New Roman" w:hAnsi="Times New Roman"/>
          <w:sz w:val="20"/>
        </w:rPr>
        <w:t xml:space="preserve">” means “subsidiary” as such term is defined in Rule 405 of the Rules and Regulations and includes both partnerships and corporations.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i/>
          <w:sz w:val="20"/>
        </w:rPr>
        <w:t xml:space="preserve">Recognition of the U.S. Special Resolution Regimes.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13,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i/>
          <w:sz w:val="20"/>
        </w:rPr>
        <w:t>Trial by Jury</w:t>
      </w:r>
      <w:r>
        <w:rPr>
          <w:rFonts w:ascii="Times New Roman" w:hAnsi="Times New Roman"/>
          <w:sz w:val="20"/>
        </w:rPr>
        <w:t xml:space="preserve">.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i/>
          <w:sz w:val="20"/>
        </w:rPr>
        <w:t>Governing Law</w:t>
      </w:r>
      <w:r>
        <w:rPr>
          <w:rFonts w:ascii="Times New Roman" w:hAnsi="Times New Roman"/>
          <w:sz w:val="20"/>
        </w:rPr>
        <w:t xml:space="preserve">. This Agreement and any claim, controversy or dispute arising under or related to this Agreement will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i/>
          <w:sz w:val="20"/>
        </w:rPr>
        <w:t>Consent to Jurisdiction</w:t>
      </w:r>
      <w:r>
        <w:rPr>
          <w:rFonts w:ascii="Times New Roman" w:hAnsi="Times New Roman"/>
          <w:sz w:val="20"/>
        </w:rPr>
        <w:t>. Any legal suit, action or proceeding arising out of or based upon this Agreement or the transactions contemplated hereby (“</w:t>
      </w:r>
      <w:r>
        <w:rPr>
          <w:rFonts w:ascii="Times New Roman" w:hAnsi="Times New Roman"/>
          <w:b/>
          <w:sz w:val="20"/>
        </w:rPr>
        <w:t>Related Proceedings</w:t>
      </w:r>
      <w:r>
        <w:rPr>
          <w:rFonts w:ascii="Times New Roman" w:hAnsi="Times New Roman"/>
          <w:sz w:val="20"/>
        </w:rPr>
        <w:t>”)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hAnsi="Times New Roman"/>
          <w:b/>
          <w:sz w:val="20"/>
        </w:rPr>
        <w:t>Specified Courts</w:t>
      </w:r>
      <w:r>
        <w:rPr>
          <w:rFonts w:ascii="Times New Roman" w:hAnsi="Times New Roman"/>
          <w:sz w:val="20"/>
        </w:rPr>
        <w:t>”), and each party irrevocably submits to the exclusive jurisdiction (except for proceedings instituted in regard to the enforcement of a judgment of any such court (a “</w:t>
      </w:r>
      <w:r>
        <w:rPr>
          <w:rFonts w:ascii="Times New Roman" w:hAnsi="Times New Roman"/>
          <w:b/>
          <w:sz w:val="20"/>
        </w:rPr>
        <w:t>Related Judgment</w:t>
      </w:r>
      <w:r>
        <w:rPr>
          <w:rFonts w:ascii="Times New Roman" w:hAnsi="Times New Roman"/>
          <w:sz w:val="20"/>
        </w:rPr>
        <w:t xml:space="preserve">”),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 </w:t>
      </w:r>
      <w:r>
        <w:rPr>
          <w:rFonts w:ascii="Times New Roman" w:hAnsi="Times New Roman"/>
          <w:i/>
          <w:sz w:val="20"/>
        </w:rPr>
        <w:t>Compliance with USA Patriot Act</w:t>
      </w:r>
      <w:r>
        <w:rPr>
          <w:rFonts w:ascii="Times New Roman" w:hAnsi="Times New Roman"/>
          <w:sz w:val="20"/>
        </w:rPr>
        <w:t xml:space="preserve">.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i/>
          <w:sz w:val="20"/>
        </w:rPr>
        <w:t>Headings</w:t>
      </w:r>
      <w:r>
        <w:rPr>
          <w:rFonts w:ascii="Times New Roman" w:hAnsi="Times New Roman"/>
          <w:sz w:val="20"/>
        </w:rPr>
        <w:t xml:space="preserve">. The headings herein are inserted for convenience of reference only and are not intended to be part of, or to affect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i/>
          <w:sz w:val="20"/>
        </w:rPr>
        <w:t>Counterparts</w:t>
      </w:r>
      <w:r>
        <w:rPr>
          <w:rFonts w:ascii="Times New Roman" w:hAnsi="Times New Roman"/>
          <w:sz w:val="20"/>
        </w:rPr>
        <w:t>. This Agreement may be signed in one or more counterparts, each of which will constitute an original and all of which together will constitute one and the same agreement. Facsimile, PDF copies or other electronic transmission of signatures shall constitute original signatures for all purposes of this Agreement and any enforcement hereof. The words “execution,” “signed,” “signature,” “delivery,” and words of like import in or relating to this Agreement or any document to be signed in connection with this Agreement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r>
        <w:rPr>
          <w:rFonts w:ascii="Times New Roman" w:hAnsi="Times New Roman"/>
          <w:b/>
          <w:sz w:val="20"/>
        </w:rPr>
        <w:t>Electronic Signatures</w:t>
      </w:r>
      <w:r>
        <w:rPr>
          <w:rFonts w:ascii="Times New Roman" w:hAnsi="Times New Roman"/>
          <w:sz w:val="20"/>
        </w:rPr>
        <w:t xml:space="preserve">” means any electronic symbol or process attached to, or associated with, any contract or other record and adopted by a person with the intent to sign, authenticate or accept such contract or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Please confirm, by signing and returning to us two counterparts of this Agreement, that the foregoing correctly sets forth the agreement between the Company and the several Underwriters.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MASTEC, INC.</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DiMarco</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Paul DiMarco</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Executive Vice President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Agreement is hereby confirmed and accepted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PNC CAPITAL MARKETS LLC</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Valerie Shadeck</w:t>
            </w:r>
          </w:p>
        </w:tc>
      </w:tr>
      <w:tr>
        <w:trPr/>
        <w:tc>
          <w:tcPr>
            <w:tcW w:w="38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pPr>
            <w:r>
              <w:rPr/>
              <w:t>Name: Valerie Shadeck</w:t>
            </w:r>
          </w:p>
        </w:tc>
      </w:tr>
      <w:tr>
        <w:trPr/>
        <w:tc>
          <w:tcPr>
            <w:tcW w:w="38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pPr>
            <w:r>
              <w:rPr/>
              <w:t>Title: Managing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Representative and on behalf of the </w:t>
      </w:r>
    </w:p>
    <w:p>
      <w:pPr>
        <w:pStyle w:val="TextBody"/>
        <w:bidi w:val="0"/>
        <w:spacing w:before="0" w:after="0"/>
        <w:jc w:val="left"/>
        <w:rPr>
          <w:rFonts w:ascii="Times New Roman" w:hAnsi="Times New Roman"/>
          <w:sz w:val="20"/>
        </w:rPr>
      </w:pPr>
      <w:r>
        <w:rPr>
          <w:rFonts w:ascii="Times New Roman" w:hAnsi="Times New Roman"/>
          <w:sz w:val="20"/>
        </w:rPr>
        <w:t xml:space="preserve">several Underwriters named in Schedule I hereto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56"/>
        <w:gridCol w:w="60"/>
        <w:gridCol w:w="3666"/>
      </w:tblGrid>
      <w:tr>
        <w:trPr/>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r>
      <w:tr>
        <w:trPr>
          <w:trHeight w:val="240" w:hRule="atLeast"/>
        </w:trPr>
        <w:tc>
          <w:tcPr>
            <w:tcW w:w="356" w:type="dxa"/>
            <w:tcBorders/>
            <w:vAlign w:val="center"/>
          </w:tcPr>
          <w:p>
            <w:pPr>
              <w:pStyle w:val="TableContents"/>
              <w:bidi w:val="0"/>
              <w:spacing w:before="0" w:after="283"/>
              <w:jc w:val="left"/>
              <w:rPr>
                <w:sz w:val="4"/>
                <w:szCs w:val="4"/>
              </w:rPr>
            </w:pPr>
            <w:r>
              <w:rPr>
                <w:sz w:val="4"/>
                <w:szCs w:val="4"/>
              </w:rPr>
            </w:r>
          </w:p>
        </w:tc>
        <w:tc>
          <w:tcPr>
            <w:tcW w:w="3726" w:type="dxa"/>
            <w:gridSpan w:val="2"/>
            <w:tcBorders/>
            <w:vAlign w:val="center"/>
          </w:tcPr>
          <w:p>
            <w:pPr>
              <w:pStyle w:val="TableContents"/>
              <w:bidi w:val="0"/>
              <w:spacing w:before="0" w:after="283"/>
              <w:jc w:val="left"/>
              <w:rPr>
                <w:sz w:val="4"/>
                <w:szCs w:val="4"/>
              </w:rPr>
            </w:pPr>
            <w:r>
              <w:rPr>
                <w:sz w:val="4"/>
                <w:szCs w:val="4"/>
              </w:rPr>
            </w:r>
          </w:p>
        </w:tc>
      </w:tr>
      <w:tr>
        <w:trPr/>
        <w:tc>
          <w:tcPr>
            <w:tcW w:w="35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6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 Nordlinger</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Name: Rob Nordlinger</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Representative and on behalf of the </w:t>
      </w:r>
    </w:p>
    <w:p>
      <w:pPr>
        <w:pStyle w:val="TextBody"/>
        <w:bidi w:val="0"/>
        <w:spacing w:before="0" w:after="0"/>
        <w:jc w:val="left"/>
        <w:rPr>
          <w:rFonts w:ascii="Times New Roman" w:hAnsi="Times New Roman"/>
          <w:sz w:val="20"/>
        </w:rPr>
      </w:pPr>
      <w:r>
        <w:rPr>
          <w:rFonts w:ascii="Times New Roman" w:hAnsi="Times New Roman"/>
          <w:sz w:val="20"/>
        </w:rPr>
        <w:t xml:space="preserve">several Underwriters named in Schedule I hereto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SECURITIES,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Brianna R. Beveridge</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Brianna R. Beveridge</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Managing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Representative and on behalf of the </w:t>
      </w:r>
    </w:p>
    <w:p>
      <w:pPr>
        <w:pStyle w:val="TextBody"/>
        <w:bidi w:val="0"/>
        <w:spacing w:before="0" w:after="0"/>
        <w:jc w:val="left"/>
        <w:rPr>
          <w:rFonts w:ascii="Times New Roman" w:hAnsi="Times New Roman"/>
          <w:sz w:val="20"/>
        </w:rPr>
      </w:pPr>
      <w:r>
        <w:rPr>
          <w:rFonts w:ascii="Times New Roman" w:hAnsi="Times New Roman"/>
          <w:sz w:val="20"/>
        </w:rPr>
        <w:t xml:space="preserve">several Underwriters named in Schedule I hereto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67"/>
        <w:gridCol w:w="548"/>
        <w:gridCol w:w="235"/>
        <w:gridCol w:w="2093"/>
        <w:gridCol w:w="62"/>
      </w:tblGrid>
      <w:tr>
        <w:trPr/>
        <w:tc>
          <w:tcPr>
            <w:tcW w:w="7267" w:type="dxa"/>
            <w:tcBorders/>
            <w:vAlign w:val="center"/>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26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548" w:type="dxa"/>
            <w:tcBorders/>
            <w:vAlign w:val="bottom"/>
          </w:tcPr>
          <w:p>
            <w:pPr>
              <w:pStyle w:val="TableContents"/>
              <w:bidi w:val="0"/>
              <w:spacing w:before="0" w:after="283"/>
              <w:jc w:val="left"/>
              <w:rPr/>
            </w:pPr>
            <w:r>
              <w:rPr/>
              <w:t>  </w:t>
            </w:r>
          </w:p>
        </w:tc>
        <w:tc>
          <w:tcPr>
            <w:tcW w:w="23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 of</w:t>
              <w:br/>
              <w:t>Notes to be Purchased</w:t>
            </w:r>
          </w:p>
        </w:tc>
        <w:tc>
          <w:tcPr>
            <w:tcW w:w="62" w:type="dxa"/>
            <w:tcBorders/>
            <w:vAlign w:val="bottom"/>
          </w:tcPr>
          <w:p>
            <w:pPr>
              <w:pStyle w:val="TableContents"/>
              <w:bidi w:val="0"/>
              <w:spacing w:before="0" w:after="283"/>
              <w:jc w:val="left"/>
              <w:rPr/>
            </w:pPr>
            <w:r>
              <w:rPr/>
              <w:t> </w:t>
            </w:r>
          </w:p>
        </w:tc>
      </w:tr>
      <w:tr>
        <w:trPr/>
        <w:tc>
          <w:tcPr>
            <w:tcW w:w="7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54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2093" w:type="dxa"/>
            <w:tcBorders/>
            <w:shd w:fill="CCEEFF" w:val="clear"/>
            <w:vAlign w:val="bottom"/>
          </w:tcPr>
          <w:p>
            <w:pPr>
              <w:pStyle w:val="TableContents"/>
              <w:bidi w:val="0"/>
              <w:spacing w:before="0" w:after="283"/>
              <w:jc w:val="right"/>
              <w:rPr/>
            </w:pPr>
            <w:r>
              <w:rPr/>
              <w:t>104,000,000</w:t>
            </w:r>
          </w:p>
        </w:tc>
        <w:tc>
          <w:tcPr>
            <w:tcW w:w="62" w:type="dxa"/>
            <w:tcBorders/>
            <w:shd w:fill="CCEEFF" w:val="clear"/>
            <w:vAlign w:val="bottom"/>
          </w:tcPr>
          <w:p>
            <w:pPr>
              <w:pStyle w:val="TableContents"/>
              <w:bidi w:val="0"/>
              <w:spacing w:before="0" w:after="283"/>
              <w:jc w:val="left"/>
              <w:rPr/>
            </w:pPr>
            <w:r>
              <w:rPr/>
              <w:t> </w:t>
            </w:r>
          </w:p>
        </w:tc>
      </w:tr>
      <w:tr>
        <w:trPr/>
        <w:tc>
          <w:tcPr>
            <w:tcW w:w="7267" w:type="dxa"/>
            <w:tcBorders/>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54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093" w:type="dxa"/>
            <w:tcBorders/>
            <w:vAlign w:val="bottom"/>
          </w:tcPr>
          <w:p>
            <w:pPr>
              <w:pStyle w:val="TableContents"/>
              <w:bidi w:val="0"/>
              <w:spacing w:before="0" w:after="283"/>
              <w:jc w:val="right"/>
              <w:rPr/>
            </w:pPr>
            <w:r>
              <w:rPr/>
              <w:t>104,000,000</w:t>
            </w:r>
          </w:p>
        </w:tc>
        <w:tc>
          <w:tcPr>
            <w:tcW w:w="62" w:type="dxa"/>
            <w:tcBorders/>
            <w:vAlign w:val="bottom"/>
          </w:tcPr>
          <w:p>
            <w:pPr>
              <w:pStyle w:val="TableContents"/>
              <w:bidi w:val="0"/>
              <w:spacing w:before="0" w:after="283"/>
              <w:jc w:val="left"/>
              <w:rPr/>
            </w:pPr>
            <w:r>
              <w:rPr/>
              <w:t> </w:t>
            </w:r>
          </w:p>
        </w:tc>
      </w:tr>
      <w:tr>
        <w:trPr/>
        <w:tc>
          <w:tcPr>
            <w:tcW w:w="7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54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093" w:type="dxa"/>
            <w:tcBorders/>
            <w:shd w:fill="CCEEFF" w:val="clear"/>
            <w:vAlign w:val="bottom"/>
          </w:tcPr>
          <w:p>
            <w:pPr>
              <w:pStyle w:val="TableContents"/>
              <w:bidi w:val="0"/>
              <w:spacing w:before="0" w:after="283"/>
              <w:jc w:val="right"/>
              <w:rPr/>
            </w:pPr>
            <w:r>
              <w:rPr/>
              <w:t>104,000,000</w:t>
            </w:r>
          </w:p>
        </w:tc>
        <w:tc>
          <w:tcPr>
            <w:tcW w:w="62" w:type="dxa"/>
            <w:tcBorders/>
            <w:shd w:fill="CCEEFF" w:val="clear"/>
            <w:vAlign w:val="bottom"/>
          </w:tcPr>
          <w:p>
            <w:pPr>
              <w:pStyle w:val="TableContents"/>
              <w:bidi w:val="0"/>
              <w:spacing w:before="0" w:after="283"/>
              <w:jc w:val="left"/>
              <w:rPr/>
            </w:pPr>
            <w:r>
              <w:rPr/>
              <w:t> </w:t>
            </w:r>
          </w:p>
        </w:tc>
      </w:tr>
      <w:tr>
        <w:trPr/>
        <w:tc>
          <w:tcPr>
            <w:tcW w:w="7267"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54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093" w:type="dxa"/>
            <w:tcBorders/>
            <w:vAlign w:val="bottom"/>
          </w:tcPr>
          <w:p>
            <w:pPr>
              <w:pStyle w:val="TableContents"/>
              <w:bidi w:val="0"/>
              <w:spacing w:before="0" w:after="283"/>
              <w:jc w:val="right"/>
              <w:rPr/>
            </w:pPr>
            <w:r>
              <w:rPr/>
              <w:t>71,500,000</w:t>
            </w:r>
          </w:p>
        </w:tc>
        <w:tc>
          <w:tcPr>
            <w:tcW w:w="62" w:type="dxa"/>
            <w:tcBorders/>
            <w:vAlign w:val="bottom"/>
          </w:tcPr>
          <w:p>
            <w:pPr>
              <w:pStyle w:val="TableContents"/>
              <w:bidi w:val="0"/>
              <w:spacing w:before="0" w:after="283"/>
              <w:jc w:val="left"/>
              <w:rPr/>
            </w:pPr>
            <w:r>
              <w:rPr/>
              <w:t> </w:t>
            </w:r>
          </w:p>
        </w:tc>
      </w:tr>
      <w:tr>
        <w:trPr/>
        <w:tc>
          <w:tcPr>
            <w:tcW w:w="7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54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093" w:type="dxa"/>
            <w:tcBorders/>
            <w:shd w:fill="CCEEFF" w:val="clear"/>
            <w:vAlign w:val="bottom"/>
          </w:tcPr>
          <w:p>
            <w:pPr>
              <w:pStyle w:val="TableContents"/>
              <w:bidi w:val="0"/>
              <w:spacing w:before="0" w:after="283"/>
              <w:jc w:val="right"/>
              <w:rPr/>
            </w:pPr>
            <w:r>
              <w:rPr/>
              <w:t>71,500,000</w:t>
            </w:r>
          </w:p>
        </w:tc>
        <w:tc>
          <w:tcPr>
            <w:tcW w:w="62" w:type="dxa"/>
            <w:tcBorders/>
            <w:shd w:fill="CCEEFF" w:val="clear"/>
            <w:vAlign w:val="bottom"/>
          </w:tcPr>
          <w:p>
            <w:pPr>
              <w:pStyle w:val="TableContents"/>
              <w:bidi w:val="0"/>
              <w:spacing w:before="0" w:after="283"/>
              <w:jc w:val="left"/>
              <w:rPr/>
            </w:pPr>
            <w:r>
              <w:rPr/>
              <w:t> </w:t>
            </w:r>
          </w:p>
        </w:tc>
      </w:tr>
      <w:tr>
        <w:trPr/>
        <w:tc>
          <w:tcPr>
            <w:tcW w:w="7267" w:type="dxa"/>
            <w:tcBorders/>
          </w:tcPr>
          <w:p>
            <w:pPr>
              <w:pStyle w:val="TableContents"/>
              <w:bidi w:val="0"/>
              <w:spacing w:before="0" w:after="0"/>
              <w:jc w:val="left"/>
              <w:rPr>
                <w:rFonts w:ascii="Times New Roman" w:hAnsi="Times New Roman"/>
                <w:sz w:val="20"/>
              </w:rPr>
            </w:pPr>
            <w:r>
              <w:rPr>
                <w:rFonts w:ascii="Times New Roman" w:hAnsi="Times New Roman"/>
                <w:sz w:val="20"/>
              </w:rPr>
              <w:t>BMO Capital Markets Corp.</w:t>
            </w:r>
          </w:p>
        </w:tc>
        <w:tc>
          <w:tcPr>
            <w:tcW w:w="54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093" w:type="dxa"/>
            <w:tcBorders/>
            <w:vAlign w:val="bottom"/>
          </w:tcPr>
          <w:p>
            <w:pPr>
              <w:pStyle w:val="TableContents"/>
              <w:bidi w:val="0"/>
              <w:spacing w:before="0" w:after="283"/>
              <w:jc w:val="right"/>
              <w:rPr/>
            </w:pPr>
            <w:r>
              <w:rPr/>
              <w:t>32,500,000</w:t>
            </w:r>
          </w:p>
        </w:tc>
        <w:tc>
          <w:tcPr>
            <w:tcW w:w="62" w:type="dxa"/>
            <w:tcBorders/>
            <w:vAlign w:val="bottom"/>
          </w:tcPr>
          <w:p>
            <w:pPr>
              <w:pStyle w:val="TableContents"/>
              <w:bidi w:val="0"/>
              <w:spacing w:before="0" w:after="283"/>
              <w:jc w:val="left"/>
              <w:rPr/>
            </w:pPr>
            <w:r>
              <w:rPr/>
              <w:t> </w:t>
            </w:r>
          </w:p>
        </w:tc>
      </w:tr>
      <w:tr>
        <w:trPr/>
        <w:tc>
          <w:tcPr>
            <w:tcW w:w="7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Citizens JMP Securities, LLC</w:t>
            </w:r>
          </w:p>
        </w:tc>
        <w:tc>
          <w:tcPr>
            <w:tcW w:w="54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093" w:type="dxa"/>
            <w:tcBorders/>
            <w:shd w:fill="CCEEFF" w:val="clear"/>
            <w:vAlign w:val="bottom"/>
          </w:tcPr>
          <w:p>
            <w:pPr>
              <w:pStyle w:val="TableContents"/>
              <w:bidi w:val="0"/>
              <w:spacing w:before="0" w:after="283"/>
              <w:jc w:val="right"/>
              <w:rPr/>
            </w:pPr>
            <w:r>
              <w:rPr/>
              <w:t>32,500,000</w:t>
            </w:r>
          </w:p>
        </w:tc>
        <w:tc>
          <w:tcPr>
            <w:tcW w:w="62" w:type="dxa"/>
            <w:tcBorders/>
            <w:shd w:fill="CCEEFF" w:val="clear"/>
            <w:vAlign w:val="bottom"/>
          </w:tcPr>
          <w:p>
            <w:pPr>
              <w:pStyle w:val="TableContents"/>
              <w:bidi w:val="0"/>
              <w:spacing w:before="0" w:after="283"/>
              <w:jc w:val="left"/>
              <w:rPr/>
            </w:pPr>
            <w:r>
              <w:rPr/>
              <w:t> </w:t>
            </w:r>
          </w:p>
        </w:tc>
      </w:tr>
      <w:tr>
        <w:trPr/>
        <w:tc>
          <w:tcPr>
            <w:tcW w:w="7267"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54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093" w:type="dxa"/>
            <w:tcBorders/>
            <w:vAlign w:val="bottom"/>
          </w:tcPr>
          <w:p>
            <w:pPr>
              <w:pStyle w:val="TableContents"/>
              <w:bidi w:val="0"/>
              <w:spacing w:before="0" w:after="283"/>
              <w:jc w:val="right"/>
              <w:rPr/>
            </w:pPr>
            <w:r>
              <w:rPr/>
              <w:t>32,500,000</w:t>
            </w:r>
          </w:p>
        </w:tc>
        <w:tc>
          <w:tcPr>
            <w:tcW w:w="62" w:type="dxa"/>
            <w:tcBorders/>
            <w:vAlign w:val="bottom"/>
          </w:tcPr>
          <w:p>
            <w:pPr>
              <w:pStyle w:val="TableContents"/>
              <w:bidi w:val="0"/>
              <w:spacing w:before="0" w:after="283"/>
              <w:jc w:val="left"/>
              <w:rPr/>
            </w:pPr>
            <w:r>
              <w:rPr/>
              <w:t> </w:t>
            </w:r>
          </w:p>
        </w:tc>
      </w:tr>
      <w:tr>
        <w:trPr/>
        <w:tc>
          <w:tcPr>
            <w:tcW w:w="7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54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093" w:type="dxa"/>
            <w:tcBorders/>
            <w:shd w:fill="CCEEFF" w:val="clear"/>
            <w:vAlign w:val="bottom"/>
          </w:tcPr>
          <w:p>
            <w:pPr>
              <w:pStyle w:val="TableContents"/>
              <w:bidi w:val="0"/>
              <w:spacing w:before="0" w:after="283"/>
              <w:jc w:val="right"/>
              <w:rPr/>
            </w:pPr>
            <w:r>
              <w:rPr/>
              <w:t>32,500,000</w:t>
            </w:r>
          </w:p>
        </w:tc>
        <w:tc>
          <w:tcPr>
            <w:tcW w:w="62" w:type="dxa"/>
            <w:tcBorders/>
            <w:shd w:fill="CCEEFF" w:val="clear"/>
            <w:vAlign w:val="bottom"/>
          </w:tcPr>
          <w:p>
            <w:pPr>
              <w:pStyle w:val="TableContents"/>
              <w:bidi w:val="0"/>
              <w:spacing w:before="0" w:after="283"/>
              <w:jc w:val="left"/>
              <w:rPr/>
            </w:pPr>
            <w:r>
              <w:rPr/>
              <w:t> </w:t>
            </w:r>
          </w:p>
        </w:tc>
      </w:tr>
      <w:tr>
        <w:trPr/>
        <w:tc>
          <w:tcPr>
            <w:tcW w:w="7267" w:type="dxa"/>
            <w:tcBorders/>
          </w:tcPr>
          <w:p>
            <w:pPr>
              <w:pStyle w:val="TableContents"/>
              <w:bidi w:val="0"/>
              <w:spacing w:before="0" w:after="0"/>
              <w:jc w:val="left"/>
              <w:rPr>
                <w:rFonts w:ascii="Times New Roman" w:hAnsi="Times New Roman"/>
                <w:sz w:val="20"/>
              </w:rPr>
            </w:pPr>
            <w:r>
              <w:rPr>
                <w:rFonts w:ascii="Times New Roman" w:hAnsi="Times New Roman"/>
                <w:sz w:val="20"/>
              </w:rPr>
              <w:t>Capital One Securities, Inc.</w:t>
            </w:r>
          </w:p>
        </w:tc>
        <w:tc>
          <w:tcPr>
            <w:tcW w:w="54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093" w:type="dxa"/>
            <w:tcBorders/>
            <w:vAlign w:val="bottom"/>
          </w:tcPr>
          <w:p>
            <w:pPr>
              <w:pStyle w:val="TableContents"/>
              <w:bidi w:val="0"/>
              <w:spacing w:before="0" w:after="283"/>
              <w:jc w:val="right"/>
              <w:rPr/>
            </w:pPr>
            <w:r>
              <w:rPr/>
              <w:t>26,000,000</w:t>
            </w:r>
          </w:p>
        </w:tc>
        <w:tc>
          <w:tcPr>
            <w:tcW w:w="62" w:type="dxa"/>
            <w:tcBorders/>
            <w:vAlign w:val="bottom"/>
          </w:tcPr>
          <w:p>
            <w:pPr>
              <w:pStyle w:val="TableContents"/>
              <w:bidi w:val="0"/>
              <w:spacing w:before="0" w:after="283"/>
              <w:jc w:val="left"/>
              <w:rPr/>
            </w:pPr>
            <w:r>
              <w:rPr/>
              <w:t> </w:t>
            </w:r>
          </w:p>
        </w:tc>
      </w:tr>
      <w:tr>
        <w:trPr/>
        <w:tc>
          <w:tcPr>
            <w:tcW w:w="7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KeyBanc Capital Markets Inc.</w:t>
            </w:r>
          </w:p>
        </w:tc>
        <w:tc>
          <w:tcPr>
            <w:tcW w:w="54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093" w:type="dxa"/>
            <w:tcBorders/>
            <w:shd w:fill="CCEEFF" w:val="clear"/>
            <w:vAlign w:val="bottom"/>
          </w:tcPr>
          <w:p>
            <w:pPr>
              <w:pStyle w:val="TableContents"/>
              <w:bidi w:val="0"/>
              <w:spacing w:before="0" w:after="283"/>
              <w:jc w:val="right"/>
              <w:rPr/>
            </w:pPr>
            <w:r>
              <w:rPr/>
              <w:t>26,000,000</w:t>
            </w:r>
          </w:p>
        </w:tc>
        <w:tc>
          <w:tcPr>
            <w:tcW w:w="62" w:type="dxa"/>
            <w:tcBorders/>
            <w:shd w:fill="CCEEFF" w:val="clear"/>
            <w:vAlign w:val="bottom"/>
          </w:tcPr>
          <w:p>
            <w:pPr>
              <w:pStyle w:val="TableContents"/>
              <w:bidi w:val="0"/>
              <w:spacing w:before="0" w:after="283"/>
              <w:jc w:val="left"/>
              <w:rPr/>
            </w:pPr>
            <w:r>
              <w:rPr/>
              <w:t> </w:t>
            </w:r>
          </w:p>
        </w:tc>
      </w:tr>
      <w:tr>
        <w:trPr/>
        <w:tc>
          <w:tcPr>
            <w:tcW w:w="7267" w:type="dxa"/>
            <w:tcBorders/>
          </w:tcPr>
          <w:p>
            <w:pPr>
              <w:pStyle w:val="TableContents"/>
              <w:bidi w:val="0"/>
              <w:spacing w:before="0" w:after="0"/>
              <w:jc w:val="left"/>
              <w:rPr>
                <w:rFonts w:ascii="Times New Roman" w:hAnsi="Times New Roman"/>
                <w:sz w:val="20"/>
              </w:rPr>
            </w:pPr>
            <w:r>
              <w:rPr>
                <w:rFonts w:ascii="Times New Roman" w:hAnsi="Times New Roman"/>
                <w:sz w:val="20"/>
              </w:rPr>
              <w:t>BBVA Securities Inc.</w:t>
            </w:r>
          </w:p>
        </w:tc>
        <w:tc>
          <w:tcPr>
            <w:tcW w:w="54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093" w:type="dxa"/>
            <w:tcBorders/>
            <w:vAlign w:val="bottom"/>
          </w:tcPr>
          <w:p>
            <w:pPr>
              <w:pStyle w:val="TableContents"/>
              <w:bidi w:val="0"/>
              <w:spacing w:before="0" w:after="283"/>
              <w:jc w:val="right"/>
              <w:rPr/>
            </w:pPr>
            <w:r>
              <w:rPr/>
              <w:t>13,000,000</w:t>
            </w:r>
          </w:p>
        </w:tc>
        <w:tc>
          <w:tcPr>
            <w:tcW w:w="62" w:type="dxa"/>
            <w:tcBorders/>
            <w:vAlign w:val="bottom"/>
          </w:tcPr>
          <w:p>
            <w:pPr>
              <w:pStyle w:val="TableContents"/>
              <w:bidi w:val="0"/>
              <w:spacing w:before="0" w:after="283"/>
              <w:jc w:val="left"/>
              <w:rPr/>
            </w:pPr>
            <w:r>
              <w:rPr/>
              <w:t> </w:t>
            </w:r>
          </w:p>
        </w:tc>
      </w:tr>
      <w:tr>
        <w:trPr/>
        <w:tc>
          <w:tcPr>
            <w:tcW w:w="7267"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209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2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4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b/>
              </w:rPr>
            </w:pPr>
            <w:r>
              <w:rPr>
                <w:b/>
              </w:rPr>
              <w:t>$</w:t>
            </w:r>
          </w:p>
        </w:tc>
        <w:tc>
          <w:tcPr>
            <w:tcW w:w="2093" w:type="dxa"/>
            <w:tcBorders/>
            <w:shd w:fill="CCEEFF" w:val="clear"/>
            <w:vAlign w:val="bottom"/>
          </w:tcPr>
          <w:p>
            <w:pPr>
              <w:pStyle w:val="TableContents"/>
              <w:bidi w:val="0"/>
              <w:spacing w:before="0" w:after="283"/>
              <w:jc w:val="right"/>
              <w:rPr>
                <w:b/>
              </w:rPr>
            </w:pPr>
            <w:r>
              <w:rPr>
                <w:b/>
              </w:rPr>
              <w:t>650,000,000</w:t>
            </w:r>
          </w:p>
        </w:tc>
        <w:tc>
          <w:tcPr>
            <w:tcW w:w="62" w:type="dxa"/>
            <w:tcBorders/>
            <w:shd w:fill="CCEEFF" w:val="clear"/>
            <w:vAlign w:val="bottom"/>
          </w:tcPr>
          <w:p>
            <w:pPr>
              <w:pStyle w:val="TableContents"/>
              <w:bidi w:val="0"/>
              <w:spacing w:before="0" w:after="283"/>
              <w:jc w:val="left"/>
              <w:rPr/>
            </w:pPr>
            <w:r>
              <w:rPr/>
              <w:t> </w:t>
            </w:r>
          </w:p>
        </w:tc>
      </w:tr>
      <w:tr>
        <w:trPr/>
        <w:tc>
          <w:tcPr>
            <w:tcW w:w="7267"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2093"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ISSUER FREE WRITING PROSPECTUSES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Final Term Sheet, dated August 6, 2026, relating to the Notes, as filed pursuant to Rule 433 under the Securities Act and attached as Schedule III 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II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III </w:t>
      </w:r>
    </w:p>
    <w:p>
      <w:pPr>
        <w:pStyle w:val="TextBody"/>
        <w:bidi w:val="0"/>
        <w:spacing w:before="240" w:after="0"/>
        <w:jc w:val="right"/>
        <w:rPr>
          <w:rFonts w:ascii="Times New Roman" w:hAnsi="Times New Roman"/>
          <w:b/>
          <w:sz w:val="20"/>
        </w:rPr>
      </w:pPr>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333-285425 </w:t>
      </w:r>
    </w:p>
    <w:p>
      <w:pPr>
        <w:pStyle w:val="TextBody"/>
        <w:bidi w:val="0"/>
        <w:spacing w:before="0" w:after="0"/>
        <w:jc w:val="right"/>
        <w:rPr>
          <w:rFonts w:ascii="Times New Roman" w:hAnsi="Times New Roman"/>
          <w:b/>
          <w:sz w:val="20"/>
        </w:rPr>
      </w:pPr>
      <w:r>
        <w:rPr>
          <w:rFonts w:ascii="Times New Roman" w:hAnsi="Times New Roman"/>
          <w:b/>
          <w:sz w:val="20"/>
        </w:rPr>
        <w:t xml:space="preserve">Issuer Free Writing Prospectus dated August 6, 2026 </w:t>
      </w:r>
    </w:p>
    <w:p>
      <w:pPr>
        <w:pStyle w:val="TextBody"/>
        <w:bidi w:val="0"/>
        <w:spacing w:before="0" w:after="0"/>
        <w:jc w:val="right"/>
        <w:rPr>
          <w:rFonts w:ascii="Times New Roman" w:hAnsi="Times New Roman"/>
          <w:b/>
          <w:sz w:val="20"/>
        </w:rPr>
      </w:pPr>
      <w:r>
        <w:rPr>
          <w:rFonts w:ascii="Times New Roman" w:hAnsi="Times New Roman"/>
          <w:b/>
          <w:sz w:val="20"/>
        </w:rPr>
        <w:t xml:space="preserve">Supplementing the Prospectus dated February 28, 2025 and </w:t>
      </w:r>
    </w:p>
    <w:p>
      <w:pPr>
        <w:pStyle w:val="TextBody"/>
        <w:bidi w:val="0"/>
        <w:spacing w:before="0" w:after="0"/>
        <w:jc w:val="right"/>
        <w:rPr>
          <w:rFonts w:ascii="Times New Roman" w:hAnsi="Times New Roman"/>
          <w:b/>
          <w:sz w:val="20"/>
        </w:rPr>
      </w:pPr>
      <w:r>
        <w:rPr>
          <w:rFonts w:ascii="Times New Roman" w:hAnsi="Times New Roman"/>
          <w:b/>
          <w:sz w:val="20"/>
        </w:rPr>
        <w:t xml:space="preserve">the Preliminary Prospectus Supplement dated August 6, 2026 </w:t>
      </w:r>
    </w:p>
    <w:p>
      <w:pPr>
        <w:pStyle w:val="TextBody"/>
        <w:bidi w:val="0"/>
        <w:spacing w:before="240" w:after="0"/>
        <w:jc w:val="center"/>
        <w:rPr>
          <w:rFonts w:ascii="Times New Roman" w:hAnsi="Times New Roman"/>
          <w:sz w:val="20"/>
        </w:rPr>
      </w:pPr>
      <w:r>
        <w:rPr>
          <w:rFonts w:ascii="Times New Roman" w:hAnsi="Times New Roman"/>
          <w:sz w:val="20"/>
        </w:rPr>
        <w:t xml:space="preserve">Pricing Term Sheet </w:t>
      </w:r>
    </w:p>
    <w:p>
      <w:pPr>
        <w:pStyle w:val="TextBody"/>
        <w:bidi w:val="0"/>
        <w:spacing w:before="0" w:after="0"/>
        <w:jc w:val="center"/>
        <w:rPr>
          <w:rFonts w:ascii="Times New Roman" w:hAnsi="Times New Roman"/>
          <w:sz w:val="20"/>
        </w:rPr>
      </w:pPr>
      <w:r>
        <w:rPr>
          <w:rFonts w:ascii="Times New Roman" w:hAnsi="Times New Roman"/>
          <w:sz w:val="20"/>
        </w:rPr>
        <w:t xml:space="preserve">August 6, 2026 </w:t>
      </w:r>
    </w:p>
    <w:p>
      <w:pPr>
        <w:pStyle w:val="TextBody"/>
        <w:bidi w:val="0"/>
        <w:spacing w:before="120" w:after="0"/>
        <w:jc w:val="center"/>
        <w:rPr>
          <w:rFonts w:ascii="Times New Roman" w:hAnsi="Times New Roman"/>
          <w:b/>
          <w:sz w:val="20"/>
        </w:rPr>
      </w:pPr>
      <w:r>
        <w:rPr>
          <w:rFonts w:ascii="Times New Roman" w:hAnsi="Times New Roman"/>
          <w:b/>
          <w:sz w:val="20"/>
        </w:rPr>
        <w:t xml:space="preserve">MASTEC, INC. </w:t>
      </w:r>
    </w:p>
    <w:p>
      <w:pPr>
        <w:pStyle w:val="TextBody"/>
        <w:bidi w:val="0"/>
        <w:spacing w:before="0" w:after="0"/>
        <w:jc w:val="center"/>
        <w:rPr>
          <w:rFonts w:ascii="Times New Roman" w:hAnsi="Times New Roman"/>
          <w:b/>
          <w:sz w:val="20"/>
        </w:rPr>
      </w:pPr>
      <w:r>
        <w:rPr>
          <w:rFonts w:ascii="Times New Roman" w:hAnsi="Times New Roman"/>
          <w:b/>
          <w:sz w:val="20"/>
        </w:rPr>
        <w:t xml:space="preserve">5.850% SENIOR NOTES DUE 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99"/>
        <w:gridCol w:w="120"/>
        <w:gridCol w:w="7486"/>
      </w:tblGrid>
      <w:tr>
        <w:trPr/>
        <w:tc>
          <w:tcPr>
            <w:tcW w:w="259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486" w:type="dxa"/>
            <w:tcBorders/>
            <w:vAlign w:val="center"/>
          </w:tcPr>
          <w:p>
            <w:pPr>
              <w:pStyle w:val="TableContents"/>
              <w:bidi w:val="0"/>
              <w:spacing w:before="0" w:after="283"/>
              <w:jc w:val="left"/>
              <w:rPr>
                <w:sz w:val="4"/>
                <w:szCs w:val="4"/>
              </w:rPr>
            </w:pPr>
            <w:r>
              <w:rPr>
                <w:sz w:val="4"/>
                <w:szCs w:val="4"/>
              </w:rPr>
            </w:r>
          </w:p>
        </w:tc>
      </w:tr>
      <w:tr>
        <w:trPr/>
        <w:tc>
          <w:tcPr>
            <w:tcW w:w="2599" w:type="dxa"/>
            <w:tcBorders/>
          </w:tcPr>
          <w:p>
            <w:pPr>
              <w:pStyle w:val="TableContents"/>
              <w:bidi w:val="0"/>
              <w:spacing w:before="0" w:after="283"/>
              <w:jc w:val="left"/>
              <w:rPr>
                <w:b/>
              </w:rPr>
            </w:pPr>
            <w:r>
              <w:rPr>
                <w:b/>
              </w:rPr>
              <w:t>Issuer:</w:t>
            </w:r>
          </w:p>
        </w:tc>
        <w:tc>
          <w:tcPr>
            <w:tcW w:w="12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283"/>
              <w:jc w:val="left"/>
              <w:rPr/>
            </w:pPr>
            <w:r>
              <w:rPr/>
              <w:t>MasTec, Inc.</w:t>
            </w:r>
          </w:p>
        </w:tc>
      </w:tr>
      <w:tr>
        <w:trPr>
          <w:trHeight w:val="120" w:hRule="atLeast"/>
        </w:trPr>
        <w:tc>
          <w:tcPr>
            <w:tcW w:w="2599" w:type="dxa"/>
            <w:tcBorders/>
            <w:vAlign w:val="center"/>
          </w:tcPr>
          <w:p>
            <w:pPr>
              <w:pStyle w:val="TableContents"/>
              <w:bidi w:val="0"/>
              <w:spacing w:before="0" w:after="283"/>
              <w:jc w:val="left"/>
              <w:rPr>
                <w:sz w:val="4"/>
                <w:szCs w:val="4"/>
              </w:rPr>
            </w:pPr>
            <w:r>
              <w:rPr>
                <w:sz w:val="4"/>
                <w:szCs w:val="4"/>
              </w:rPr>
            </w:r>
          </w:p>
        </w:tc>
        <w:tc>
          <w:tcPr>
            <w:tcW w:w="7606" w:type="dxa"/>
            <w:gridSpan w:val="2"/>
            <w:tcBorders/>
            <w:vAlign w:val="center"/>
          </w:tcPr>
          <w:p>
            <w:pPr>
              <w:pStyle w:val="TableContents"/>
              <w:bidi w:val="0"/>
              <w:spacing w:before="0" w:after="283"/>
              <w:jc w:val="left"/>
              <w:rPr>
                <w:sz w:val="4"/>
                <w:szCs w:val="4"/>
              </w:rPr>
            </w:pPr>
            <w:r>
              <w:rPr>
                <w:sz w:val="4"/>
                <w:szCs w:val="4"/>
              </w:rPr>
            </w:r>
          </w:p>
        </w:tc>
      </w:tr>
      <w:tr>
        <w:trPr/>
        <w:tc>
          <w:tcPr>
            <w:tcW w:w="2599" w:type="dxa"/>
            <w:tcBorders/>
          </w:tcPr>
          <w:p>
            <w:pPr>
              <w:pStyle w:val="TableContents"/>
              <w:bidi w:val="0"/>
              <w:spacing w:before="0" w:after="283"/>
              <w:jc w:val="left"/>
              <w:rPr>
                <w:b/>
              </w:rPr>
            </w:pPr>
            <w:r>
              <w:rPr>
                <w:b/>
              </w:rPr>
              <w:t>Principal Amount:</w:t>
            </w:r>
          </w:p>
        </w:tc>
        <w:tc>
          <w:tcPr>
            <w:tcW w:w="12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283"/>
              <w:jc w:val="left"/>
              <w:rPr/>
            </w:pPr>
            <w:r>
              <w:rPr/>
              <w:t>$650,000,000</w:t>
            </w:r>
          </w:p>
        </w:tc>
      </w:tr>
      <w:tr>
        <w:trPr>
          <w:trHeight w:val="120" w:hRule="atLeast"/>
        </w:trPr>
        <w:tc>
          <w:tcPr>
            <w:tcW w:w="2599" w:type="dxa"/>
            <w:tcBorders/>
            <w:vAlign w:val="center"/>
          </w:tcPr>
          <w:p>
            <w:pPr>
              <w:pStyle w:val="TableContents"/>
              <w:bidi w:val="0"/>
              <w:spacing w:before="0" w:after="283"/>
              <w:jc w:val="left"/>
              <w:rPr>
                <w:sz w:val="4"/>
                <w:szCs w:val="4"/>
              </w:rPr>
            </w:pPr>
            <w:r>
              <w:rPr>
                <w:sz w:val="4"/>
                <w:szCs w:val="4"/>
              </w:rPr>
            </w:r>
          </w:p>
        </w:tc>
        <w:tc>
          <w:tcPr>
            <w:tcW w:w="7606" w:type="dxa"/>
            <w:gridSpan w:val="2"/>
            <w:tcBorders/>
            <w:vAlign w:val="center"/>
          </w:tcPr>
          <w:p>
            <w:pPr>
              <w:pStyle w:val="TableContents"/>
              <w:bidi w:val="0"/>
              <w:spacing w:before="0" w:after="283"/>
              <w:jc w:val="left"/>
              <w:rPr>
                <w:sz w:val="4"/>
                <w:szCs w:val="4"/>
              </w:rPr>
            </w:pPr>
            <w:r>
              <w:rPr>
                <w:sz w:val="4"/>
                <w:szCs w:val="4"/>
              </w:rPr>
            </w:r>
          </w:p>
        </w:tc>
      </w:tr>
      <w:tr>
        <w:trPr/>
        <w:tc>
          <w:tcPr>
            <w:tcW w:w="2599" w:type="dxa"/>
            <w:tcBorders/>
          </w:tcPr>
          <w:p>
            <w:pPr>
              <w:pStyle w:val="TableContents"/>
              <w:bidi w:val="0"/>
              <w:spacing w:before="0" w:after="283"/>
              <w:jc w:val="left"/>
              <w:rPr>
                <w:b/>
              </w:rPr>
            </w:pPr>
            <w:r>
              <w:rPr>
                <w:b/>
              </w:rPr>
              <w:t>Security Type:</w:t>
            </w:r>
          </w:p>
        </w:tc>
        <w:tc>
          <w:tcPr>
            <w:tcW w:w="12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283"/>
              <w:jc w:val="left"/>
              <w:rPr/>
            </w:pPr>
            <w:r>
              <w:rPr/>
              <w:t>Senior Notes</w:t>
            </w:r>
          </w:p>
        </w:tc>
      </w:tr>
      <w:tr>
        <w:trPr>
          <w:trHeight w:val="120" w:hRule="atLeast"/>
        </w:trPr>
        <w:tc>
          <w:tcPr>
            <w:tcW w:w="2599" w:type="dxa"/>
            <w:tcBorders/>
            <w:vAlign w:val="center"/>
          </w:tcPr>
          <w:p>
            <w:pPr>
              <w:pStyle w:val="TableContents"/>
              <w:bidi w:val="0"/>
              <w:spacing w:before="0" w:after="283"/>
              <w:jc w:val="left"/>
              <w:rPr>
                <w:sz w:val="4"/>
                <w:szCs w:val="4"/>
              </w:rPr>
            </w:pPr>
            <w:r>
              <w:rPr>
                <w:sz w:val="4"/>
                <w:szCs w:val="4"/>
              </w:rPr>
            </w:r>
          </w:p>
        </w:tc>
        <w:tc>
          <w:tcPr>
            <w:tcW w:w="7606" w:type="dxa"/>
            <w:gridSpan w:val="2"/>
            <w:tcBorders/>
            <w:vAlign w:val="center"/>
          </w:tcPr>
          <w:p>
            <w:pPr>
              <w:pStyle w:val="TableContents"/>
              <w:bidi w:val="0"/>
              <w:spacing w:before="0" w:after="283"/>
              <w:jc w:val="left"/>
              <w:rPr>
                <w:sz w:val="4"/>
                <w:szCs w:val="4"/>
              </w:rPr>
            </w:pPr>
            <w:r>
              <w:rPr>
                <w:sz w:val="4"/>
                <w:szCs w:val="4"/>
              </w:rPr>
            </w:r>
          </w:p>
        </w:tc>
      </w:tr>
      <w:tr>
        <w:trPr/>
        <w:tc>
          <w:tcPr>
            <w:tcW w:w="2599" w:type="dxa"/>
            <w:tcBorders/>
          </w:tcPr>
          <w:p>
            <w:pPr>
              <w:pStyle w:val="TableContents"/>
              <w:bidi w:val="0"/>
              <w:spacing w:before="0" w:after="283"/>
              <w:jc w:val="left"/>
              <w:rPr>
                <w:b/>
              </w:rPr>
            </w:pPr>
            <w:r>
              <w:rPr>
                <w:b/>
              </w:rPr>
              <w:t>Legal Format:</w:t>
            </w:r>
          </w:p>
        </w:tc>
        <w:tc>
          <w:tcPr>
            <w:tcW w:w="12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283"/>
              <w:jc w:val="left"/>
              <w:rPr/>
            </w:pPr>
            <w:r>
              <w:rPr/>
              <w:t>SEC Registered</w:t>
            </w:r>
          </w:p>
        </w:tc>
      </w:tr>
      <w:tr>
        <w:trPr>
          <w:trHeight w:val="120" w:hRule="atLeast"/>
        </w:trPr>
        <w:tc>
          <w:tcPr>
            <w:tcW w:w="2599" w:type="dxa"/>
            <w:tcBorders/>
            <w:vAlign w:val="center"/>
          </w:tcPr>
          <w:p>
            <w:pPr>
              <w:pStyle w:val="TableContents"/>
              <w:bidi w:val="0"/>
              <w:spacing w:before="0" w:after="283"/>
              <w:jc w:val="left"/>
              <w:rPr>
                <w:sz w:val="4"/>
                <w:szCs w:val="4"/>
              </w:rPr>
            </w:pPr>
            <w:r>
              <w:rPr>
                <w:sz w:val="4"/>
                <w:szCs w:val="4"/>
              </w:rPr>
            </w:r>
          </w:p>
        </w:tc>
        <w:tc>
          <w:tcPr>
            <w:tcW w:w="7606" w:type="dxa"/>
            <w:gridSpan w:val="2"/>
            <w:tcBorders/>
            <w:vAlign w:val="center"/>
          </w:tcPr>
          <w:p>
            <w:pPr>
              <w:pStyle w:val="TableContents"/>
              <w:bidi w:val="0"/>
              <w:spacing w:before="0" w:after="283"/>
              <w:jc w:val="left"/>
              <w:rPr>
                <w:sz w:val="4"/>
                <w:szCs w:val="4"/>
              </w:rPr>
            </w:pPr>
            <w:r>
              <w:rPr>
                <w:sz w:val="4"/>
                <w:szCs w:val="4"/>
              </w:rPr>
            </w:r>
          </w:p>
        </w:tc>
      </w:tr>
      <w:tr>
        <w:trPr/>
        <w:tc>
          <w:tcPr>
            <w:tcW w:w="2599" w:type="dxa"/>
            <w:tcBorders/>
          </w:tcPr>
          <w:p>
            <w:pPr>
              <w:pStyle w:val="TableContents"/>
              <w:bidi w:val="0"/>
              <w:spacing w:before="0" w:after="283"/>
              <w:jc w:val="left"/>
              <w:rPr>
                <w:b/>
              </w:rPr>
            </w:pPr>
            <w:r>
              <w:rPr>
                <w:b/>
              </w:rPr>
              <w:t>Trade Date:</w:t>
            </w:r>
          </w:p>
        </w:tc>
        <w:tc>
          <w:tcPr>
            <w:tcW w:w="12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283"/>
              <w:jc w:val="left"/>
              <w:rPr/>
            </w:pPr>
            <w:r>
              <w:rPr/>
              <w:t>August 6, 2026</w:t>
            </w:r>
          </w:p>
        </w:tc>
      </w:tr>
      <w:tr>
        <w:trPr>
          <w:trHeight w:val="120" w:hRule="atLeast"/>
        </w:trPr>
        <w:tc>
          <w:tcPr>
            <w:tcW w:w="2599" w:type="dxa"/>
            <w:tcBorders/>
            <w:vAlign w:val="center"/>
          </w:tcPr>
          <w:p>
            <w:pPr>
              <w:pStyle w:val="TableContents"/>
              <w:bidi w:val="0"/>
              <w:spacing w:before="0" w:after="283"/>
              <w:jc w:val="left"/>
              <w:rPr>
                <w:sz w:val="4"/>
                <w:szCs w:val="4"/>
              </w:rPr>
            </w:pPr>
            <w:r>
              <w:rPr>
                <w:sz w:val="4"/>
                <w:szCs w:val="4"/>
              </w:rPr>
            </w:r>
          </w:p>
        </w:tc>
        <w:tc>
          <w:tcPr>
            <w:tcW w:w="7606" w:type="dxa"/>
            <w:gridSpan w:val="2"/>
            <w:tcBorders/>
            <w:vAlign w:val="center"/>
          </w:tcPr>
          <w:p>
            <w:pPr>
              <w:pStyle w:val="TableContents"/>
              <w:bidi w:val="0"/>
              <w:spacing w:before="0" w:after="283"/>
              <w:jc w:val="left"/>
              <w:rPr>
                <w:sz w:val="4"/>
                <w:szCs w:val="4"/>
              </w:rPr>
            </w:pPr>
            <w:r>
              <w:rPr>
                <w:sz w:val="4"/>
                <w:szCs w:val="4"/>
              </w:rPr>
            </w:r>
          </w:p>
        </w:tc>
      </w:tr>
      <w:tr>
        <w:trPr/>
        <w:tc>
          <w:tcPr>
            <w:tcW w:w="2599" w:type="dxa"/>
            <w:tcBorders/>
          </w:tcPr>
          <w:p>
            <w:pPr>
              <w:pStyle w:val="TableContents"/>
              <w:bidi w:val="0"/>
              <w:spacing w:before="0" w:after="283"/>
              <w:jc w:val="left"/>
              <w:rPr>
                <w:b/>
              </w:rPr>
            </w:pPr>
            <w:r>
              <w:rPr>
                <w:b/>
              </w:rPr>
              <w:t>Settlement Date:</w:t>
            </w:r>
          </w:p>
        </w:tc>
        <w:tc>
          <w:tcPr>
            <w:tcW w:w="12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283"/>
              <w:jc w:val="left"/>
              <w:rPr/>
            </w:pPr>
            <w:r>
              <w:rPr/>
              <w:t>August 17, 2026 (T+7)1</w:t>
            </w:r>
          </w:p>
        </w:tc>
      </w:tr>
      <w:tr>
        <w:trPr>
          <w:trHeight w:val="120" w:hRule="atLeast"/>
        </w:trPr>
        <w:tc>
          <w:tcPr>
            <w:tcW w:w="2599" w:type="dxa"/>
            <w:tcBorders/>
            <w:vAlign w:val="center"/>
          </w:tcPr>
          <w:p>
            <w:pPr>
              <w:pStyle w:val="TableContents"/>
              <w:bidi w:val="0"/>
              <w:spacing w:before="0" w:after="283"/>
              <w:jc w:val="left"/>
              <w:rPr>
                <w:sz w:val="4"/>
                <w:szCs w:val="4"/>
              </w:rPr>
            </w:pPr>
            <w:r>
              <w:rPr>
                <w:sz w:val="4"/>
                <w:szCs w:val="4"/>
              </w:rPr>
            </w:r>
          </w:p>
        </w:tc>
        <w:tc>
          <w:tcPr>
            <w:tcW w:w="7606" w:type="dxa"/>
            <w:gridSpan w:val="2"/>
            <w:tcBorders/>
            <w:vAlign w:val="center"/>
          </w:tcPr>
          <w:p>
            <w:pPr>
              <w:pStyle w:val="TableContents"/>
              <w:bidi w:val="0"/>
              <w:spacing w:before="0" w:after="283"/>
              <w:jc w:val="left"/>
              <w:rPr>
                <w:sz w:val="4"/>
                <w:szCs w:val="4"/>
              </w:rPr>
            </w:pPr>
            <w:r>
              <w:rPr>
                <w:sz w:val="4"/>
                <w:szCs w:val="4"/>
              </w:rPr>
            </w:r>
          </w:p>
        </w:tc>
      </w:tr>
      <w:tr>
        <w:trPr/>
        <w:tc>
          <w:tcPr>
            <w:tcW w:w="2599" w:type="dxa"/>
            <w:tcBorders/>
          </w:tcPr>
          <w:p>
            <w:pPr>
              <w:pStyle w:val="TableContents"/>
              <w:bidi w:val="0"/>
              <w:spacing w:before="0" w:after="283"/>
              <w:jc w:val="left"/>
              <w:rPr>
                <w:b/>
              </w:rPr>
            </w:pPr>
            <w:r>
              <w:rPr>
                <w:b/>
              </w:rPr>
              <w:t>Maturity Date:</w:t>
            </w:r>
          </w:p>
        </w:tc>
        <w:tc>
          <w:tcPr>
            <w:tcW w:w="12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283"/>
              <w:jc w:val="left"/>
              <w:rPr/>
            </w:pPr>
            <w:r>
              <w:rPr/>
              <w:t>September 30, 2036</w:t>
            </w:r>
          </w:p>
        </w:tc>
      </w:tr>
      <w:tr>
        <w:trPr>
          <w:trHeight w:val="120" w:hRule="atLeast"/>
        </w:trPr>
        <w:tc>
          <w:tcPr>
            <w:tcW w:w="2599" w:type="dxa"/>
            <w:tcBorders/>
            <w:vAlign w:val="center"/>
          </w:tcPr>
          <w:p>
            <w:pPr>
              <w:pStyle w:val="TableContents"/>
              <w:bidi w:val="0"/>
              <w:spacing w:before="0" w:after="283"/>
              <w:jc w:val="left"/>
              <w:rPr>
                <w:sz w:val="4"/>
                <w:szCs w:val="4"/>
              </w:rPr>
            </w:pPr>
            <w:r>
              <w:rPr>
                <w:sz w:val="4"/>
                <w:szCs w:val="4"/>
              </w:rPr>
            </w:r>
          </w:p>
        </w:tc>
        <w:tc>
          <w:tcPr>
            <w:tcW w:w="7606" w:type="dxa"/>
            <w:gridSpan w:val="2"/>
            <w:tcBorders/>
            <w:vAlign w:val="center"/>
          </w:tcPr>
          <w:p>
            <w:pPr>
              <w:pStyle w:val="TableContents"/>
              <w:bidi w:val="0"/>
              <w:spacing w:before="0" w:after="283"/>
              <w:jc w:val="left"/>
              <w:rPr>
                <w:sz w:val="4"/>
                <w:szCs w:val="4"/>
              </w:rPr>
            </w:pPr>
            <w:r>
              <w:rPr>
                <w:sz w:val="4"/>
                <w:szCs w:val="4"/>
              </w:rPr>
            </w:r>
          </w:p>
        </w:tc>
      </w:tr>
      <w:tr>
        <w:trPr/>
        <w:tc>
          <w:tcPr>
            <w:tcW w:w="2599" w:type="dxa"/>
            <w:tcBorders/>
          </w:tcPr>
          <w:p>
            <w:pPr>
              <w:pStyle w:val="TableContents"/>
              <w:bidi w:val="0"/>
              <w:spacing w:before="0" w:after="283"/>
              <w:jc w:val="left"/>
              <w:rPr>
                <w:b/>
              </w:rPr>
            </w:pPr>
            <w:r>
              <w:rPr>
                <w:b/>
              </w:rPr>
              <w:t>Price to Public:</w:t>
            </w:r>
          </w:p>
        </w:tc>
        <w:tc>
          <w:tcPr>
            <w:tcW w:w="12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283"/>
              <w:jc w:val="left"/>
              <w:rPr/>
            </w:pPr>
            <w:r>
              <w:rPr/>
              <w:t>99.656% of principal amount</w:t>
            </w:r>
          </w:p>
        </w:tc>
      </w:tr>
      <w:tr>
        <w:trPr>
          <w:trHeight w:val="120" w:hRule="atLeast"/>
        </w:trPr>
        <w:tc>
          <w:tcPr>
            <w:tcW w:w="2599" w:type="dxa"/>
            <w:tcBorders/>
            <w:vAlign w:val="center"/>
          </w:tcPr>
          <w:p>
            <w:pPr>
              <w:pStyle w:val="TableContents"/>
              <w:bidi w:val="0"/>
              <w:spacing w:before="0" w:after="283"/>
              <w:jc w:val="left"/>
              <w:rPr>
                <w:sz w:val="4"/>
                <w:szCs w:val="4"/>
              </w:rPr>
            </w:pPr>
            <w:r>
              <w:rPr>
                <w:sz w:val="4"/>
                <w:szCs w:val="4"/>
              </w:rPr>
            </w:r>
          </w:p>
        </w:tc>
        <w:tc>
          <w:tcPr>
            <w:tcW w:w="7606" w:type="dxa"/>
            <w:gridSpan w:val="2"/>
            <w:tcBorders/>
            <w:vAlign w:val="center"/>
          </w:tcPr>
          <w:p>
            <w:pPr>
              <w:pStyle w:val="TableContents"/>
              <w:bidi w:val="0"/>
              <w:spacing w:before="0" w:after="283"/>
              <w:jc w:val="left"/>
              <w:rPr>
                <w:sz w:val="4"/>
                <w:szCs w:val="4"/>
              </w:rPr>
            </w:pPr>
            <w:r>
              <w:rPr>
                <w:sz w:val="4"/>
                <w:szCs w:val="4"/>
              </w:rPr>
            </w:r>
          </w:p>
        </w:tc>
      </w:tr>
      <w:tr>
        <w:trPr/>
        <w:tc>
          <w:tcPr>
            <w:tcW w:w="2599" w:type="dxa"/>
            <w:tcBorders/>
          </w:tcPr>
          <w:p>
            <w:pPr>
              <w:pStyle w:val="TableContents"/>
              <w:bidi w:val="0"/>
              <w:spacing w:before="0" w:after="283"/>
              <w:jc w:val="left"/>
              <w:rPr>
                <w:b/>
              </w:rPr>
            </w:pPr>
            <w:r>
              <w:rPr>
                <w:b/>
              </w:rPr>
              <w:t>Underwriting Discount:</w:t>
            </w:r>
          </w:p>
        </w:tc>
        <w:tc>
          <w:tcPr>
            <w:tcW w:w="12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283"/>
              <w:jc w:val="left"/>
              <w:rPr/>
            </w:pPr>
            <w:r>
              <w:rPr/>
              <w:t>0.65% of principal amount</w:t>
            </w:r>
          </w:p>
        </w:tc>
      </w:tr>
      <w:tr>
        <w:trPr>
          <w:trHeight w:val="120" w:hRule="atLeast"/>
        </w:trPr>
        <w:tc>
          <w:tcPr>
            <w:tcW w:w="2599" w:type="dxa"/>
            <w:tcBorders/>
            <w:vAlign w:val="center"/>
          </w:tcPr>
          <w:p>
            <w:pPr>
              <w:pStyle w:val="TableContents"/>
              <w:bidi w:val="0"/>
              <w:spacing w:before="0" w:after="283"/>
              <w:jc w:val="left"/>
              <w:rPr>
                <w:sz w:val="4"/>
                <w:szCs w:val="4"/>
              </w:rPr>
            </w:pPr>
            <w:r>
              <w:rPr>
                <w:sz w:val="4"/>
                <w:szCs w:val="4"/>
              </w:rPr>
            </w:r>
          </w:p>
        </w:tc>
        <w:tc>
          <w:tcPr>
            <w:tcW w:w="7606" w:type="dxa"/>
            <w:gridSpan w:val="2"/>
            <w:tcBorders/>
            <w:vAlign w:val="center"/>
          </w:tcPr>
          <w:p>
            <w:pPr>
              <w:pStyle w:val="TableContents"/>
              <w:bidi w:val="0"/>
              <w:spacing w:before="0" w:after="283"/>
              <w:jc w:val="left"/>
              <w:rPr>
                <w:sz w:val="4"/>
                <w:szCs w:val="4"/>
              </w:rPr>
            </w:pPr>
            <w:r>
              <w:rPr>
                <w:sz w:val="4"/>
                <w:szCs w:val="4"/>
              </w:rPr>
            </w:r>
          </w:p>
        </w:tc>
      </w:tr>
      <w:tr>
        <w:trPr/>
        <w:tc>
          <w:tcPr>
            <w:tcW w:w="2599" w:type="dxa"/>
            <w:tcBorders/>
          </w:tcPr>
          <w:p>
            <w:pPr>
              <w:pStyle w:val="TableContents"/>
              <w:bidi w:val="0"/>
              <w:spacing w:before="0" w:after="283"/>
              <w:jc w:val="left"/>
              <w:rPr>
                <w:b/>
              </w:rPr>
            </w:pPr>
            <w:r>
              <w:rPr>
                <w:b/>
              </w:rPr>
              <w:t>Net Proceeds (before expenses) to Issuer:</w:t>
            </w:r>
          </w:p>
        </w:tc>
        <w:tc>
          <w:tcPr>
            <w:tcW w:w="120" w:type="dxa"/>
            <w:tcBorders/>
            <w:vAlign w:val="bottom"/>
          </w:tcPr>
          <w:p>
            <w:pPr>
              <w:pStyle w:val="TableContents"/>
              <w:bidi w:val="0"/>
              <w:spacing w:before="0" w:after="283"/>
              <w:jc w:val="left"/>
              <w:rPr/>
            </w:pPr>
            <w:r>
              <w:rPr/>
              <w:t>  </w:t>
            </w:r>
          </w:p>
        </w:tc>
        <w:tc>
          <w:tcPr>
            <w:tcW w:w="7486" w:type="dxa"/>
            <w:tcBorders/>
            <w:vAlign w:val="bottom"/>
          </w:tcPr>
          <w:p>
            <w:pPr>
              <w:pStyle w:val="TableContents"/>
              <w:bidi w:val="0"/>
              <w:spacing w:before="0" w:after="283"/>
              <w:jc w:val="left"/>
              <w:rPr/>
            </w:pPr>
            <w:r>
              <w:rPr/>
              <w:t>$643,539,000</w:t>
            </w:r>
          </w:p>
        </w:tc>
      </w:tr>
      <w:tr>
        <w:trPr>
          <w:trHeight w:val="120" w:hRule="atLeast"/>
        </w:trPr>
        <w:tc>
          <w:tcPr>
            <w:tcW w:w="2599" w:type="dxa"/>
            <w:tcBorders/>
            <w:vAlign w:val="center"/>
          </w:tcPr>
          <w:p>
            <w:pPr>
              <w:pStyle w:val="TableContents"/>
              <w:bidi w:val="0"/>
              <w:spacing w:before="0" w:after="283"/>
              <w:jc w:val="left"/>
              <w:rPr>
                <w:sz w:val="4"/>
                <w:szCs w:val="4"/>
              </w:rPr>
            </w:pPr>
            <w:r>
              <w:rPr>
                <w:sz w:val="4"/>
                <w:szCs w:val="4"/>
              </w:rPr>
            </w:r>
          </w:p>
        </w:tc>
        <w:tc>
          <w:tcPr>
            <w:tcW w:w="7606" w:type="dxa"/>
            <w:gridSpan w:val="2"/>
            <w:tcBorders/>
            <w:vAlign w:val="center"/>
          </w:tcPr>
          <w:p>
            <w:pPr>
              <w:pStyle w:val="TableContents"/>
              <w:bidi w:val="0"/>
              <w:spacing w:before="0" w:after="283"/>
              <w:jc w:val="left"/>
              <w:rPr>
                <w:sz w:val="4"/>
                <w:szCs w:val="4"/>
              </w:rPr>
            </w:pPr>
            <w:r>
              <w:rPr>
                <w:sz w:val="4"/>
                <w:szCs w:val="4"/>
              </w:rPr>
            </w:r>
          </w:p>
        </w:tc>
      </w:tr>
      <w:tr>
        <w:trPr/>
        <w:tc>
          <w:tcPr>
            <w:tcW w:w="2599" w:type="dxa"/>
            <w:tcBorders/>
          </w:tcPr>
          <w:p>
            <w:pPr>
              <w:pStyle w:val="TableContents"/>
              <w:bidi w:val="0"/>
              <w:spacing w:before="0" w:after="283"/>
              <w:jc w:val="left"/>
              <w:rPr>
                <w:b/>
              </w:rPr>
            </w:pPr>
            <w:r>
              <w:rPr>
                <w:b/>
              </w:rPr>
              <w:t>Coupon:</w:t>
            </w:r>
          </w:p>
        </w:tc>
        <w:tc>
          <w:tcPr>
            <w:tcW w:w="12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283"/>
              <w:jc w:val="left"/>
              <w:rPr/>
            </w:pPr>
            <w:r>
              <w:rPr/>
              <w:t>5.850%</w:t>
            </w:r>
          </w:p>
        </w:tc>
      </w:tr>
      <w:tr>
        <w:trPr>
          <w:trHeight w:val="120" w:hRule="atLeast"/>
        </w:trPr>
        <w:tc>
          <w:tcPr>
            <w:tcW w:w="2599" w:type="dxa"/>
            <w:tcBorders/>
            <w:vAlign w:val="center"/>
          </w:tcPr>
          <w:p>
            <w:pPr>
              <w:pStyle w:val="TableContents"/>
              <w:bidi w:val="0"/>
              <w:spacing w:before="0" w:after="283"/>
              <w:jc w:val="left"/>
              <w:rPr>
                <w:sz w:val="4"/>
                <w:szCs w:val="4"/>
              </w:rPr>
            </w:pPr>
            <w:r>
              <w:rPr>
                <w:sz w:val="4"/>
                <w:szCs w:val="4"/>
              </w:rPr>
            </w:r>
          </w:p>
        </w:tc>
        <w:tc>
          <w:tcPr>
            <w:tcW w:w="7606" w:type="dxa"/>
            <w:gridSpan w:val="2"/>
            <w:tcBorders/>
            <w:vAlign w:val="center"/>
          </w:tcPr>
          <w:p>
            <w:pPr>
              <w:pStyle w:val="TableContents"/>
              <w:bidi w:val="0"/>
              <w:spacing w:before="0" w:after="283"/>
              <w:jc w:val="left"/>
              <w:rPr>
                <w:sz w:val="4"/>
                <w:szCs w:val="4"/>
              </w:rPr>
            </w:pPr>
            <w:r>
              <w:rPr>
                <w:sz w:val="4"/>
                <w:szCs w:val="4"/>
              </w:rPr>
            </w:r>
          </w:p>
        </w:tc>
      </w:tr>
      <w:tr>
        <w:trPr/>
        <w:tc>
          <w:tcPr>
            <w:tcW w:w="2599" w:type="dxa"/>
            <w:tcBorders/>
          </w:tcPr>
          <w:p>
            <w:pPr>
              <w:pStyle w:val="TableContents"/>
              <w:bidi w:val="0"/>
              <w:spacing w:before="0" w:after="283"/>
              <w:jc w:val="left"/>
              <w:rPr>
                <w:b/>
              </w:rPr>
            </w:pPr>
            <w:r>
              <w:rPr>
                <w:b/>
              </w:rPr>
              <w:t>Benchmark Treasury:</w:t>
            </w:r>
          </w:p>
        </w:tc>
        <w:tc>
          <w:tcPr>
            <w:tcW w:w="12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283"/>
              <w:jc w:val="left"/>
              <w:rPr/>
            </w:pPr>
            <w:r>
              <w:rPr/>
              <w:t>4.375% due May 15, 2036</w:t>
            </w:r>
          </w:p>
        </w:tc>
      </w:tr>
      <w:tr>
        <w:trPr>
          <w:trHeight w:val="120" w:hRule="atLeast"/>
        </w:trPr>
        <w:tc>
          <w:tcPr>
            <w:tcW w:w="2599" w:type="dxa"/>
            <w:tcBorders/>
            <w:vAlign w:val="center"/>
          </w:tcPr>
          <w:p>
            <w:pPr>
              <w:pStyle w:val="TableContents"/>
              <w:bidi w:val="0"/>
              <w:spacing w:before="0" w:after="283"/>
              <w:jc w:val="left"/>
              <w:rPr>
                <w:sz w:val="4"/>
                <w:szCs w:val="4"/>
              </w:rPr>
            </w:pPr>
            <w:r>
              <w:rPr>
                <w:sz w:val="4"/>
                <w:szCs w:val="4"/>
              </w:rPr>
            </w:r>
          </w:p>
        </w:tc>
        <w:tc>
          <w:tcPr>
            <w:tcW w:w="7606" w:type="dxa"/>
            <w:gridSpan w:val="2"/>
            <w:tcBorders/>
            <w:vAlign w:val="center"/>
          </w:tcPr>
          <w:p>
            <w:pPr>
              <w:pStyle w:val="TableContents"/>
              <w:bidi w:val="0"/>
              <w:spacing w:before="0" w:after="283"/>
              <w:jc w:val="left"/>
              <w:rPr>
                <w:sz w:val="4"/>
                <w:szCs w:val="4"/>
              </w:rPr>
            </w:pPr>
            <w:r>
              <w:rPr>
                <w:sz w:val="4"/>
                <w:szCs w:val="4"/>
              </w:rPr>
            </w:r>
          </w:p>
        </w:tc>
      </w:tr>
      <w:tr>
        <w:trPr/>
        <w:tc>
          <w:tcPr>
            <w:tcW w:w="2599" w:type="dxa"/>
            <w:tcBorders/>
          </w:tcPr>
          <w:p>
            <w:pPr>
              <w:pStyle w:val="TableContents"/>
              <w:bidi w:val="0"/>
              <w:spacing w:before="0" w:after="283"/>
              <w:jc w:val="left"/>
              <w:rPr>
                <w:b/>
              </w:rPr>
            </w:pPr>
            <w:r>
              <w:rPr>
                <w:b/>
              </w:rPr>
              <w:t>Benchmark Treasury Price and Yield:</w:t>
            </w:r>
          </w:p>
        </w:tc>
        <w:tc>
          <w:tcPr>
            <w:tcW w:w="120" w:type="dxa"/>
            <w:tcBorders/>
            <w:vAlign w:val="bottom"/>
          </w:tcPr>
          <w:p>
            <w:pPr>
              <w:pStyle w:val="TableContents"/>
              <w:bidi w:val="0"/>
              <w:spacing w:before="0" w:after="283"/>
              <w:jc w:val="left"/>
              <w:rPr/>
            </w:pPr>
            <w:r>
              <w:rPr/>
              <w:t>  </w:t>
            </w:r>
          </w:p>
        </w:tc>
        <w:tc>
          <w:tcPr>
            <w:tcW w:w="7486" w:type="dxa"/>
            <w:tcBorders/>
          </w:tcPr>
          <w:p>
            <w:pPr>
              <w:pStyle w:val="TableContents"/>
              <w:bidi w:val="0"/>
              <w:spacing w:before="0" w:after="283"/>
              <w:jc w:val="left"/>
              <w:rPr/>
            </w:pPr>
            <w:r>
              <w:rPr/>
              <w:t>97-21+ / 4.674%</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Rule 15c6-1 of the Securities Exchange Act of 1934, as amended, trades in the secondary market generally are required to settle in one business day, unless the parties to such trade expressly agree otherwise. Accordingly, purchasers who wish to trade the notes on any date prior to the business day before delivery will be required, by virtue of the fact that the notes initially will settle in seven business days (T+7), to specify an alternative settlement arrangement at the time of any such trade to prevent a failed settlement. Purchasers of the notes who wish to trade the notes prior to the business day preceding the date of delivery hereunder should consult their advisors.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624"/>
        <w:gridCol w:w="122"/>
        <w:gridCol w:w="7459"/>
      </w:tblGrid>
      <w:tr>
        <w:trPr/>
        <w:tc>
          <w:tcPr>
            <w:tcW w:w="262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459" w:type="dxa"/>
            <w:tcBorders/>
            <w:vAlign w:val="center"/>
          </w:tcPr>
          <w:p>
            <w:pPr>
              <w:pStyle w:val="TableContents"/>
              <w:bidi w:val="0"/>
              <w:spacing w:before="0" w:after="283"/>
              <w:jc w:val="left"/>
              <w:rPr>
                <w:sz w:val="4"/>
                <w:szCs w:val="4"/>
              </w:rPr>
            </w:pPr>
            <w:r>
              <w:rPr>
                <w:sz w:val="4"/>
                <w:szCs w:val="4"/>
              </w:rPr>
            </w:r>
          </w:p>
        </w:tc>
      </w:tr>
      <w:tr>
        <w:trPr/>
        <w:tc>
          <w:tcPr>
            <w:tcW w:w="2624" w:type="dxa"/>
            <w:tcBorders/>
          </w:tcPr>
          <w:p>
            <w:pPr>
              <w:pStyle w:val="TableContents"/>
              <w:bidi w:val="0"/>
              <w:spacing w:before="0" w:after="283"/>
              <w:jc w:val="left"/>
              <w:rPr>
                <w:b/>
              </w:rPr>
            </w:pPr>
            <w:r>
              <w:rPr>
                <w:b/>
              </w:rPr>
              <w:t>Spread to Benchmark Treasury:</w:t>
            </w:r>
          </w:p>
        </w:tc>
        <w:tc>
          <w:tcPr>
            <w:tcW w:w="122" w:type="dxa"/>
            <w:tcBorders/>
            <w:vAlign w:val="bottom"/>
          </w:tcPr>
          <w:p>
            <w:pPr>
              <w:pStyle w:val="TableContents"/>
              <w:bidi w:val="0"/>
              <w:spacing w:before="0" w:after="283"/>
              <w:jc w:val="left"/>
              <w:rPr/>
            </w:pPr>
            <w:r>
              <w:rPr/>
              <w:t>  </w:t>
            </w:r>
          </w:p>
        </w:tc>
        <w:tc>
          <w:tcPr>
            <w:tcW w:w="7459" w:type="dxa"/>
            <w:tcBorders/>
          </w:tcPr>
          <w:p>
            <w:pPr>
              <w:pStyle w:val="TableContents"/>
              <w:bidi w:val="0"/>
              <w:spacing w:before="0" w:after="283"/>
              <w:jc w:val="left"/>
              <w:rPr/>
            </w:pPr>
            <w:r>
              <w:rPr/>
              <w:t>+122 basis points</w:t>
            </w:r>
          </w:p>
        </w:tc>
      </w:tr>
      <w:tr>
        <w:trPr>
          <w:trHeight w:val="120" w:hRule="atLeast"/>
        </w:trPr>
        <w:tc>
          <w:tcPr>
            <w:tcW w:w="2624" w:type="dxa"/>
            <w:tcBorders/>
            <w:vAlign w:val="center"/>
          </w:tcPr>
          <w:p>
            <w:pPr>
              <w:pStyle w:val="TableContents"/>
              <w:bidi w:val="0"/>
              <w:spacing w:before="0" w:after="283"/>
              <w:jc w:val="left"/>
              <w:rPr>
                <w:sz w:val="4"/>
                <w:szCs w:val="4"/>
              </w:rPr>
            </w:pPr>
            <w:r>
              <w:rPr>
                <w:sz w:val="4"/>
                <w:szCs w:val="4"/>
              </w:rPr>
            </w:r>
          </w:p>
        </w:tc>
        <w:tc>
          <w:tcPr>
            <w:tcW w:w="7581" w:type="dxa"/>
            <w:gridSpan w:val="2"/>
            <w:tcBorders/>
            <w:vAlign w:val="center"/>
          </w:tcPr>
          <w:p>
            <w:pPr>
              <w:pStyle w:val="TableContents"/>
              <w:bidi w:val="0"/>
              <w:spacing w:before="0" w:after="283"/>
              <w:jc w:val="left"/>
              <w:rPr>
                <w:sz w:val="4"/>
                <w:szCs w:val="4"/>
              </w:rPr>
            </w:pPr>
            <w:r>
              <w:rPr>
                <w:sz w:val="4"/>
                <w:szCs w:val="4"/>
              </w:rPr>
            </w:r>
          </w:p>
        </w:tc>
      </w:tr>
      <w:tr>
        <w:trPr/>
        <w:tc>
          <w:tcPr>
            <w:tcW w:w="2624" w:type="dxa"/>
            <w:tcBorders/>
          </w:tcPr>
          <w:p>
            <w:pPr>
              <w:pStyle w:val="TableContents"/>
              <w:bidi w:val="0"/>
              <w:spacing w:before="0" w:after="283"/>
              <w:jc w:val="left"/>
              <w:rPr>
                <w:b/>
              </w:rPr>
            </w:pPr>
            <w:r>
              <w:rPr>
                <w:b/>
              </w:rPr>
              <w:t>Yield to Maturity:</w:t>
            </w:r>
          </w:p>
        </w:tc>
        <w:tc>
          <w:tcPr>
            <w:tcW w:w="122" w:type="dxa"/>
            <w:tcBorders/>
            <w:vAlign w:val="bottom"/>
          </w:tcPr>
          <w:p>
            <w:pPr>
              <w:pStyle w:val="TableContents"/>
              <w:bidi w:val="0"/>
              <w:spacing w:before="0" w:after="283"/>
              <w:jc w:val="left"/>
              <w:rPr/>
            </w:pPr>
            <w:r>
              <w:rPr/>
              <w:t>  </w:t>
            </w:r>
          </w:p>
        </w:tc>
        <w:tc>
          <w:tcPr>
            <w:tcW w:w="7459" w:type="dxa"/>
            <w:tcBorders/>
          </w:tcPr>
          <w:p>
            <w:pPr>
              <w:pStyle w:val="TableContents"/>
              <w:bidi w:val="0"/>
              <w:spacing w:before="0" w:after="283"/>
              <w:jc w:val="left"/>
              <w:rPr/>
            </w:pPr>
            <w:r>
              <w:rPr/>
              <w:t>5.894%</w:t>
            </w:r>
          </w:p>
        </w:tc>
      </w:tr>
      <w:tr>
        <w:trPr>
          <w:trHeight w:val="120" w:hRule="atLeast"/>
        </w:trPr>
        <w:tc>
          <w:tcPr>
            <w:tcW w:w="2624" w:type="dxa"/>
            <w:tcBorders/>
            <w:vAlign w:val="center"/>
          </w:tcPr>
          <w:p>
            <w:pPr>
              <w:pStyle w:val="TableContents"/>
              <w:bidi w:val="0"/>
              <w:spacing w:before="0" w:after="283"/>
              <w:jc w:val="left"/>
              <w:rPr>
                <w:sz w:val="4"/>
                <w:szCs w:val="4"/>
              </w:rPr>
            </w:pPr>
            <w:r>
              <w:rPr>
                <w:sz w:val="4"/>
                <w:szCs w:val="4"/>
              </w:rPr>
            </w:r>
          </w:p>
        </w:tc>
        <w:tc>
          <w:tcPr>
            <w:tcW w:w="7581" w:type="dxa"/>
            <w:gridSpan w:val="2"/>
            <w:tcBorders/>
            <w:vAlign w:val="center"/>
          </w:tcPr>
          <w:p>
            <w:pPr>
              <w:pStyle w:val="TableContents"/>
              <w:bidi w:val="0"/>
              <w:spacing w:before="0" w:after="283"/>
              <w:jc w:val="left"/>
              <w:rPr>
                <w:sz w:val="4"/>
                <w:szCs w:val="4"/>
              </w:rPr>
            </w:pPr>
            <w:r>
              <w:rPr>
                <w:sz w:val="4"/>
                <w:szCs w:val="4"/>
              </w:rPr>
            </w:r>
          </w:p>
        </w:tc>
      </w:tr>
      <w:tr>
        <w:trPr/>
        <w:tc>
          <w:tcPr>
            <w:tcW w:w="2624" w:type="dxa"/>
            <w:tcBorders/>
          </w:tcPr>
          <w:p>
            <w:pPr>
              <w:pStyle w:val="TableContents"/>
              <w:bidi w:val="0"/>
              <w:spacing w:before="0" w:after="283"/>
              <w:jc w:val="left"/>
              <w:rPr>
                <w:b/>
              </w:rPr>
            </w:pPr>
            <w:r>
              <w:rPr>
                <w:b/>
              </w:rPr>
              <w:t>Interest Payment Dates:</w:t>
            </w:r>
          </w:p>
        </w:tc>
        <w:tc>
          <w:tcPr>
            <w:tcW w:w="122" w:type="dxa"/>
            <w:tcBorders/>
            <w:vAlign w:val="bottom"/>
          </w:tcPr>
          <w:p>
            <w:pPr>
              <w:pStyle w:val="TableContents"/>
              <w:bidi w:val="0"/>
              <w:spacing w:before="0" w:after="283"/>
              <w:jc w:val="left"/>
              <w:rPr/>
            </w:pPr>
            <w:r>
              <w:rPr/>
              <w:t>  </w:t>
            </w:r>
          </w:p>
        </w:tc>
        <w:tc>
          <w:tcPr>
            <w:tcW w:w="7459" w:type="dxa"/>
            <w:tcBorders/>
          </w:tcPr>
          <w:p>
            <w:pPr>
              <w:pStyle w:val="TableContents"/>
              <w:bidi w:val="0"/>
              <w:spacing w:before="0" w:after="283"/>
              <w:jc w:val="left"/>
              <w:rPr/>
            </w:pPr>
            <w:r>
              <w:rPr/>
              <w:t>Semi-annually on March 30 and September 30, commencing on March 30, 2027</w:t>
            </w:r>
          </w:p>
        </w:tc>
      </w:tr>
      <w:tr>
        <w:trPr>
          <w:trHeight w:val="120" w:hRule="atLeast"/>
        </w:trPr>
        <w:tc>
          <w:tcPr>
            <w:tcW w:w="2624" w:type="dxa"/>
            <w:tcBorders/>
            <w:vAlign w:val="center"/>
          </w:tcPr>
          <w:p>
            <w:pPr>
              <w:pStyle w:val="TableContents"/>
              <w:bidi w:val="0"/>
              <w:spacing w:before="0" w:after="283"/>
              <w:jc w:val="left"/>
              <w:rPr>
                <w:sz w:val="4"/>
                <w:szCs w:val="4"/>
              </w:rPr>
            </w:pPr>
            <w:r>
              <w:rPr>
                <w:sz w:val="4"/>
                <w:szCs w:val="4"/>
              </w:rPr>
            </w:r>
          </w:p>
        </w:tc>
        <w:tc>
          <w:tcPr>
            <w:tcW w:w="7581" w:type="dxa"/>
            <w:gridSpan w:val="2"/>
            <w:tcBorders/>
            <w:vAlign w:val="center"/>
          </w:tcPr>
          <w:p>
            <w:pPr>
              <w:pStyle w:val="TableContents"/>
              <w:bidi w:val="0"/>
              <w:spacing w:before="0" w:after="283"/>
              <w:jc w:val="left"/>
              <w:rPr>
                <w:sz w:val="4"/>
                <w:szCs w:val="4"/>
              </w:rPr>
            </w:pPr>
            <w:r>
              <w:rPr>
                <w:sz w:val="4"/>
                <w:szCs w:val="4"/>
              </w:rPr>
            </w:r>
          </w:p>
        </w:tc>
      </w:tr>
      <w:tr>
        <w:trPr/>
        <w:tc>
          <w:tcPr>
            <w:tcW w:w="2624" w:type="dxa"/>
            <w:tcBorders/>
          </w:tcPr>
          <w:p>
            <w:pPr>
              <w:pStyle w:val="TableContents"/>
              <w:bidi w:val="0"/>
              <w:spacing w:before="0" w:after="283"/>
              <w:jc w:val="left"/>
              <w:rPr>
                <w:b/>
              </w:rPr>
            </w:pPr>
            <w:r>
              <w:rPr>
                <w:b/>
              </w:rPr>
              <w:t>Record Dates:</w:t>
            </w:r>
          </w:p>
        </w:tc>
        <w:tc>
          <w:tcPr>
            <w:tcW w:w="122" w:type="dxa"/>
            <w:tcBorders/>
            <w:vAlign w:val="bottom"/>
          </w:tcPr>
          <w:p>
            <w:pPr>
              <w:pStyle w:val="TableContents"/>
              <w:bidi w:val="0"/>
              <w:spacing w:before="0" w:after="283"/>
              <w:jc w:val="left"/>
              <w:rPr/>
            </w:pPr>
            <w:r>
              <w:rPr/>
              <w:t>  </w:t>
            </w:r>
          </w:p>
        </w:tc>
        <w:tc>
          <w:tcPr>
            <w:tcW w:w="7459" w:type="dxa"/>
            <w:tcBorders/>
          </w:tcPr>
          <w:p>
            <w:pPr>
              <w:pStyle w:val="TableContents"/>
              <w:bidi w:val="0"/>
              <w:spacing w:before="0" w:after="283"/>
              <w:jc w:val="left"/>
              <w:rPr/>
            </w:pPr>
            <w:r>
              <w:rPr/>
              <w:t>March 15 and September 15</w:t>
            </w:r>
          </w:p>
        </w:tc>
      </w:tr>
      <w:tr>
        <w:trPr>
          <w:trHeight w:val="120" w:hRule="atLeast"/>
        </w:trPr>
        <w:tc>
          <w:tcPr>
            <w:tcW w:w="2624" w:type="dxa"/>
            <w:tcBorders/>
            <w:vAlign w:val="center"/>
          </w:tcPr>
          <w:p>
            <w:pPr>
              <w:pStyle w:val="TableContents"/>
              <w:bidi w:val="0"/>
              <w:spacing w:before="0" w:after="283"/>
              <w:jc w:val="left"/>
              <w:rPr>
                <w:sz w:val="4"/>
                <w:szCs w:val="4"/>
              </w:rPr>
            </w:pPr>
            <w:r>
              <w:rPr>
                <w:sz w:val="4"/>
                <w:szCs w:val="4"/>
              </w:rPr>
            </w:r>
          </w:p>
        </w:tc>
        <w:tc>
          <w:tcPr>
            <w:tcW w:w="7581" w:type="dxa"/>
            <w:gridSpan w:val="2"/>
            <w:tcBorders/>
            <w:vAlign w:val="center"/>
          </w:tcPr>
          <w:p>
            <w:pPr>
              <w:pStyle w:val="TableContents"/>
              <w:bidi w:val="0"/>
              <w:spacing w:before="0" w:after="283"/>
              <w:jc w:val="left"/>
              <w:rPr>
                <w:sz w:val="4"/>
                <w:szCs w:val="4"/>
              </w:rPr>
            </w:pPr>
            <w:r>
              <w:rPr>
                <w:sz w:val="4"/>
                <w:szCs w:val="4"/>
              </w:rPr>
            </w:r>
          </w:p>
        </w:tc>
      </w:tr>
      <w:tr>
        <w:trPr/>
        <w:tc>
          <w:tcPr>
            <w:tcW w:w="2624" w:type="dxa"/>
            <w:tcBorders/>
          </w:tcPr>
          <w:p>
            <w:pPr>
              <w:pStyle w:val="TableContents"/>
              <w:bidi w:val="0"/>
              <w:spacing w:before="0" w:after="283"/>
              <w:jc w:val="left"/>
              <w:rPr>
                <w:b/>
              </w:rPr>
            </w:pPr>
            <w:r>
              <w:rPr>
                <w:b/>
              </w:rPr>
              <w:t>Day Count Convention:</w:t>
            </w:r>
          </w:p>
        </w:tc>
        <w:tc>
          <w:tcPr>
            <w:tcW w:w="122" w:type="dxa"/>
            <w:tcBorders/>
            <w:vAlign w:val="bottom"/>
          </w:tcPr>
          <w:p>
            <w:pPr>
              <w:pStyle w:val="TableContents"/>
              <w:bidi w:val="0"/>
              <w:spacing w:before="0" w:after="283"/>
              <w:jc w:val="left"/>
              <w:rPr/>
            </w:pPr>
            <w:r>
              <w:rPr/>
              <w:t>  </w:t>
            </w:r>
          </w:p>
        </w:tc>
        <w:tc>
          <w:tcPr>
            <w:tcW w:w="7459" w:type="dxa"/>
            <w:tcBorders/>
          </w:tcPr>
          <w:p>
            <w:pPr>
              <w:pStyle w:val="TableContents"/>
              <w:bidi w:val="0"/>
              <w:spacing w:before="0" w:after="283"/>
              <w:jc w:val="left"/>
              <w:rPr/>
            </w:pPr>
            <w:r>
              <w:rPr/>
              <w:t>30 / 360</w:t>
            </w:r>
          </w:p>
        </w:tc>
      </w:tr>
      <w:tr>
        <w:trPr>
          <w:trHeight w:val="120" w:hRule="atLeast"/>
        </w:trPr>
        <w:tc>
          <w:tcPr>
            <w:tcW w:w="2624" w:type="dxa"/>
            <w:tcBorders/>
            <w:vAlign w:val="center"/>
          </w:tcPr>
          <w:p>
            <w:pPr>
              <w:pStyle w:val="TableContents"/>
              <w:bidi w:val="0"/>
              <w:spacing w:before="0" w:after="283"/>
              <w:jc w:val="left"/>
              <w:rPr>
                <w:sz w:val="4"/>
                <w:szCs w:val="4"/>
              </w:rPr>
            </w:pPr>
            <w:r>
              <w:rPr>
                <w:sz w:val="4"/>
                <w:szCs w:val="4"/>
              </w:rPr>
            </w:r>
          </w:p>
        </w:tc>
        <w:tc>
          <w:tcPr>
            <w:tcW w:w="7581" w:type="dxa"/>
            <w:gridSpan w:val="2"/>
            <w:tcBorders/>
            <w:vAlign w:val="center"/>
          </w:tcPr>
          <w:p>
            <w:pPr>
              <w:pStyle w:val="TableContents"/>
              <w:bidi w:val="0"/>
              <w:spacing w:before="0" w:after="283"/>
              <w:jc w:val="left"/>
              <w:rPr>
                <w:sz w:val="4"/>
                <w:szCs w:val="4"/>
              </w:rPr>
            </w:pPr>
            <w:r>
              <w:rPr>
                <w:sz w:val="4"/>
                <w:szCs w:val="4"/>
              </w:rPr>
            </w:r>
          </w:p>
        </w:tc>
      </w:tr>
      <w:tr>
        <w:trPr/>
        <w:tc>
          <w:tcPr>
            <w:tcW w:w="2624" w:type="dxa"/>
            <w:tcBorders/>
          </w:tcPr>
          <w:p>
            <w:pPr>
              <w:pStyle w:val="TableContents"/>
              <w:bidi w:val="0"/>
              <w:spacing w:before="0" w:after="283"/>
              <w:jc w:val="left"/>
              <w:rPr>
                <w:b/>
              </w:rPr>
            </w:pPr>
            <w:r>
              <w:rPr>
                <w:b/>
              </w:rPr>
              <w:t>Optional Redemption:</w:t>
            </w:r>
          </w:p>
        </w:tc>
        <w:tc>
          <w:tcPr>
            <w:tcW w:w="122" w:type="dxa"/>
            <w:tcBorders/>
            <w:vAlign w:val="bottom"/>
          </w:tcPr>
          <w:p>
            <w:pPr>
              <w:pStyle w:val="TableContents"/>
              <w:bidi w:val="0"/>
              <w:spacing w:before="0" w:after="283"/>
              <w:jc w:val="left"/>
              <w:rPr/>
            </w:pPr>
            <w:r>
              <w:rPr/>
              <w:t>  </w:t>
            </w:r>
          </w:p>
        </w:tc>
        <w:tc>
          <w:tcPr>
            <w:tcW w:w="7459" w:type="dxa"/>
            <w:tcBorders/>
          </w:tcPr>
          <w:p>
            <w:pPr>
              <w:pStyle w:val="TableContents"/>
              <w:bidi w:val="0"/>
              <w:spacing w:before="0" w:after="0"/>
              <w:jc w:val="left"/>
              <w:rPr>
                <w:rFonts w:ascii="Times New Roman" w:hAnsi="Times New Roman"/>
                <w:sz w:val="20"/>
              </w:rPr>
            </w:pPr>
            <w:r>
              <w:rPr>
                <w:rFonts w:ascii="Times New Roman" w:hAnsi="Times New Roman"/>
                <w:sz w:val="20"/>
              </w:rPr>
              <w:t>Prior to June 30, 2036 (the “Par Call Date”), at a redemption price equal to the greater of (i) (a) the sum of the present values of the remaining scheduled payments of principal and interest thereon discounted to the redemption date (assuming the notes matured on the Par Call Date) at the Treasury Rate +20 basis points less (b) interest accrued to, but excluding, the redemption date, and (ii) 100% of the principal amount of the notes being redeemed, plus, in either case (i) or (ii), accrued and unpaid interest on the principal amount being redeemed to, but excluding, the redemption date.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and after the Par Call Date, at a redemption price equal to 100% of the principal amount of the notes being redeemed, plus any accrued and unpaid interest on the notes being redeemed to, but excluding, the redemption date.</w:t>
            </w:r>
          </w:p>
        </w:tc>
      </w:tr>
      <w:tr>
        <w:trPr>
          <w:trHeight w:val="120" w:hRule="atLeast"/>
        </w:trPr>
        <w:tc>
          <w:tcPr>
            <w:tcW w:w="2624" w:type="dxa"/>
            <w:tcBorders/>
            <w:vAlign w:val="center"/>
          </w:tcPr>
          <w:p>
            <w:pPr>
              <w:pStyle w:val="TableContents"/>
              <w:bidi w:val="0"/>
              <w:spacing w:before="0" w:after="283"/>
              <w:jc w:val="left"/>
              <w:rPr>
                <w:sz w:val="4"/>
                <w:szCs w:val="4"/>
              </w:rPr>
            </w:pPr>
            <w:r>
              <w:rPr>
                <w:sz w:val="4"/>
                <w:szCs w:val="4"/>
              </w:rPr>
            </w:r>
          </w:p>
        </w:tc>
        <w:tc>
          <w:tcPr>
            <w:tcW w:w="7581" w:type="dxa"/>
            <w:gridSpan w:val="2"/>
            <w:tcBorders/>
            <w:vAlign w:val="center"/>
          </w:tcPr>
          <w:p>
            <w:pPr>
              <w:pStyle w:val="TableContents"/>
              <w:bidi w:val="0"/>
              <w:spacing w:before="0" w:after="283"/>
              <w:jc w:val="left"/>
              <w:rPr>
                <w:sz w:val="4"/>
                <w:szCs w:val="4"/>
              </w:rPr>
            </w:pPr>
            <w:r>
              <w:rPr>
                <w:sz w:val="4"/>
                <w:szCs w:val="4"/>
              </w:rPr>
            </w:r>
          </w:p>
        </w:tc>
      </w:tr>
      <w:tr>
        <w:trPr/>
        <w:tc>
          <w:tcPr>
            <w:tcW w:w="2624" w:type="dxa"/>
            <w:tcBorders/>
          </w:tcPr>
          <w:p>
            <w:pPr>
              <w:pStyle w:val="TableContents"/>
              <w:bidi w:val="0"/>
              <w:spacing w:before="0" w:after="283"/>
              <w:jc w:val="left"/>
              <w:rPr>
                <w:b/>
              </w:rPr>
            </w:pPr>
            <w:r>
              <w:rPr>
                <w:b/>
              </w:rPr>
              <w:t>Denominations:</w:t>
            </w:r>
          </w:p>
        </w:tc>
        <w:tc>
          <w:tcPr>
            <w:tcW w:w="122" w:type="dxa"/>
            <w:tcBorders/>
            <w:vAlign w:val="bottom"/>
          </w:tcPr>
          <w:p>
            <w:pPr>
              <w:pStyle w:val="TableContents"/>
              <w:bidi w:val="0"/>
              <w:spacing w:before="0" w:after="283"/>
              <w:jc w:val="left"/>
              <w:rPr/>
            </w:pPr>
            <w:r>
              <w:rPr/>
              <w:t>  </w:t>
            </w:r>
          </w:p>
        </w:tc>
        <w:tc>
          <w:tcPr>
            <w:tcW w:w="7459" w:type="dxa"/>
            <w:tcBorders/>
          </w:tcPr>
          <w:p>
            <w:pPr>
              <w:pStyle w:val="TableContents"/>
              <w:bidi w:val="0"/>
              <w:spacing w:before="0" w:after="283"/>
              <w:jc w:val="left"/>
              <w:rPr/>
            </w:pPr>
            <w:r>
              <w:rPr/>
              <w:t>$2,000 and multiples of $1,000 in excess thereof.</w:t>
            </w:r>
          </w:p>
        </w:tc>
      </w:tr>
      <w:tr>
        <w:trPr>
          <w:trHeight w:val="120" w:hRule="atLeast"/>
        </w:trPr>
        <w:tc>
          <w:tcPr>
            <w:tcW w:w="2624" w:type="dxa"/>
            <w:tcBorders/>
            <w:vAlign w:val="center"/>
          </w:tcPr>
          <w:p>
            <w:pPr>
              <w:pStyle w:val="TableContents"/>
              <w:bidi w:val="0"/>
              <w:spacing w:before="0" w:after="283"/>
              <w:jc w:val="left"/>
              <w:rPr>
                <w:sz w:val="4"/>
                <w:szCs w:val="4"/>
              </w:rPr>
            </w:pPr>
            <w:r>
              <w:rPr>
                <w:sz w:val="4"/>
                <w:szCs w:val="4"/>
              </w:rPr>
            </w:r>
          </w:p>
        </w:tc>
        <w:tc>
          <w:tcPr>
            <w:tcW w:w="7581" w:type="dxa"/>
            <w:gridSpan w:val="2"/>
            <w:tcBorders/>
            <w:vAlign w:val="center"/>
          </w:tcPr>
          <w:p>
            <w:pPr>
              <w:pStyle w:val="TableContents"/>
              <w:bidi w:val="0"/>
              <w:spacing w:before="0" w:after="283"/>
              <w:jc w:val="left"/>
              <w:rPr>
                <w:sz w:val="4"/>
                <w:szCs w:val="4"/>
              </w:rPr>
            </w:pPr>
            <w:r>
              <w:rPr>
                <w:sz w:val="4"/>
                <w:szCs w:val="4"/>
              </w:rPr>
            </w:r>
          </w:p>
        </w:tc>
      </w:tr>
      <w:tr>
        <w:trPr/>
        <w:tc>
          <w:tcPr>
            <w:tcW w:w="2624" w:type="dxa"/>
            <w:tcBorders/>
          </w:tcPr>
          <w:p>
            <w:pPr>
              <w:pStyle w:val="TableContents"/>
              <w:bidi w:val="0"/>
              <w:spacing w:before="0" w:after="283"/>
              <w:jc w:val="left"/>
              <w:rPr>
                <w:b/>
              </w:rPr>
            </w:pPr>
            <w:r>
              <w:rPr>
                <w:b/>
              </w:rPr>
              <w:t>CUSIP:</w:t>
            </w:r>
          </w:p>
        </w:tc>
        <w:tc>
          <w:tcPr>
            <w:tcW w:w="122" w:type="dxa"/>
            <w:tcBorders/>
            <w:vAlign w:val="bottom"/>
          </w:tcPr>
          <w:p>
            <w:pPr>
              <w:pStyle w:val="TableContents"/>
              <w:bidi w:val="0"/>
              <w:spacing w:before="0" w:after="283"/>
              <w:jc w:val="left"/>
              <w:rPr/>
            </w:pPr>
            <w:r>
              <w:rPr/>
              <w:t>  </w:t>
            </w:r>
          </w:p>
        </w:tc>
        <w:tc>
          <w:tcPr>
            <w:tcW w:w="7459" w:type="dxa"/>
            <w:tcBorders/>
          </w:tcPr>
          <w:p>
            <w:pPr>
              <w:pStyle w:val="TableContents"/>
              <w:bidi w:val="0"/>
              <w:spacing w:before="0" w:after="283"/>
              <w:jc w:val="left"/>
              <w:rPr/>
            </w:pPr>
            <w:r>
              <w:rPr/>
              <w:t>576323 AU3</w:t>
            </w:r>
          </w:p>
        </w:tc>
      </w:tr>
      <w:tr>
        <w:trPr>
          <w:trHeight w:val="120" w:hRule="atLeast"/>
        </w:trPr>
        <w:tc>
          <w:tcPr>
            <w:tcW w:w="2624" w:type="dxa"/>
            <w:tcBorders/>
            <w:vAlign w:val="center"/>
          </w:tcPr>
          <w:p>
            <w:pPr>
              <w:pStyle w:val="TableContents"/>
              <w:bidi w:val="0"/>
              <w:spacing w:before="0" w:after="283"/>
              <w:jc w:val="left"/>
              <w:rPr>
                <w:sz w:val="4"/>
                <w:szCs w:val="4"/>
              </w:rPr>
            </w:pPr>
            <w:r>
              <w:rPr>
                <w:sz w:val="4"/>
                <w:szCs w:val="4"/>
              </w:rPr>
            </w:r>
          </w:p>
        </w:tc>
        <w:tc>
          <w:tcPr>
            <w:tcW w:w="7581" w:type="dxa"/>
            <w:gridSpan w:val="2"/>
            <w:tcBorders/>
            <w:vAlign w:val="center"/>
          </w:tcPr>
          <w:p>
            <w:pPr>
              <w:pStyle w:val="TableContents"/>
              <w:bidi w:val="0"/>
              <w:spacing w:before="0" w:after="283"/>
              <w:jc w:val="left"/>
              <w:rPr>
                <w:sz w:val="4"/>
                <w:szCs w:val="4"/>
              </w:rPr>
            </w:pPr>
            <w:r>
              <w:rPr>
                <w:sz w:val="4"/>
                <w:szCs w:val="4"/>
              </w:rPr>
            </w:r>
          </w:p>
        </w:tc>
      </w:tr>
      <w:tr>
        <w:trPr/>
        <w:tc>
          <w:tcPr>
            <w:tcW w:w="2624" w:type="dxa"/>
            <w:tcBorders/>
          </w:tcPr>
          <w:p>
            <w:pPr>
              <w:pStyle w:val="TableContents"/>
              <w:bidi w:val="0"/>
              <w:spacing w:before="0" w:after="283"/>
              <w:jc w:val="left"/>
              <w:rPr>
                <w:b/>
              </w:rPr>
            </w:pPr>
            <w:r>
              <w:rPr>
                <w:b/>
              </w:rPr>
              <w:t>ISIN:</w:t>
            </w:r>
          </w:p>
        </w:tc>
        <w:tc>
          <w:tcPr>
            <w:tcW w:w="122" w:type="dxa"/>
            <w:tcBorders/>
            <w:vAlign w:val="bottom"/>
          </w:tcPr>
          <w:p>
            <w:pPr>
              <w:pStyle w:val="TableContents"/>
              <w:bidi w:val="0"/>
              <w:spacing w:before="0" w:after="283"/>
              <w:jc w:val="left"/>
              <w:rPr/>
            </w:pPr>
            <w:r>
              <w:rPr/>
              <w:t>  </w:t>
            </w:r>
          </w:p>
        </w:tc>
        <w:tc>
          <w:tcPr>
            <w:tcW w:w="7459" w:type="dxa"/>
            <w:tcBorders/>
          </w:tcPr>
          <w:p>
            <w:pPr>
              <w:pStyle w:val="TableContents"/>
              <w:bidi w:val="0"/>
              <w:spacing w:before="0" w:after="283"/>
              <w:jc w:val="left"/>
              <w:rPr/>
            </w:pPr>
            <w:r>
              <w:rPr/>
              <w:t>US576323AU37</w:t>
            </w:r>
          </w:p>
        </w:tc>
      </w:tr>
      <w:tr>
        <w:trPr>
          <w:trHeight w:val="120" w:hRule="atLeast"/>
        </w:trPr>
        <w:tc>
          <w:tcPr>
            <w:tcW w:w="2624" w:type="dxa"/>
            <w:tcBorders/>
            <w:vAlign w:val="center"/>
          </w:tcPr>
          <w:p>
            <w:pPr>
              <w:pStyle w:val="TableContents"/>
              <w:bidi w:val="0"/>
              <w:spacing w:before="0" w:after="283"/>
              <w:jc w:val="left"/>
              <w:rPr>
                <w:sz w:val="4"/>
                <w:szCs w:val="4"/>
              </w:rPr>
            </w:pPr>
            <w:r>
              <w:rPr>
                <w:sz w:val="4"/>
                <w:szCs w:val="4"/>
              </w:rPr>
            </w:r>
          </w:p>
        </w:tc>
        <w:tc>
          <w:tcPr>
            <w:tcW w:w="7581" w:type="dxa"/>
            <w:gridSpan w:val="2"/>
            <w:tcBorders/>
            <w:vAlign w:val="center"/>
          </w:tcPr>
          <w:p>
            <w:pPr>
              <w:pStyle w:val="TableContents"/>
              <w:bidi w:val="0"/>
              <w:spacing w:before="0" w:after="283"/>
              <w:jc w:val="left"/>
              <w:rPr>
                <w:sz w:val="4"/>
                <w:szCs w:val="4"/>
              </w:rPr>
            </w:pPr>
            <w:r>
              <w:rPr>
                <w:sz w:val="4"/>
                <w:szCs w:val="4"/>
              </w:rPr>
            </w:r>
          </w:p>
        </w:tc>
      </w:tr>
      <w:tr>
        <w:trPr/>
        <w:tc>
          <w:tcPr>
            <w:tcW w:w="2624" w:type="dxa"/>
            <w:tcBorders/>
          </w:tcPr>
          <w:p>
            <w:pPr>
              <w:pStyle w:val="TableContents"/>
              <w:bidi w:val="0"/>
              <w:spacing w:before="0" w:after="283"/>
              <w:jc w:val="left"/>
              <w:rPr>
                <w:b/>
              </w:rPr>
            </w:pPr>
            <w:r>
              <w:rPr>
                <w:b/>
              </w:rPr>
              <w:t>Ratings*:</w:t>
            </w:r>
          </w:p>
        </w:tc>
        <w:tc>
          <w:tcPr>
            <w:tcW w:w="122" w:type="dxa"/>
            <w:tcBorders/>
            <w:vAlign w:val="bottom"/>
          </w:tcPr>
          <w:p>
            <w:pPr>
              <w:pStyle w:val="TableContents"/>
              <w:bidi w:val="0"/>
              <w:spacing w:before="0" w:after="283"/>
              <w:jc w:val="left"/>
              <w:rPr/>
            </w:pPr>
            <w:r>
              <w:rPr/>
              <w:t>  </w:t>
            </w:r>
          </w:p>
        </w:tc>
        <w:tc>
          <w:tcPr>
            <w:tcW w:w="7459" w:type="dxa"/>
            <w:tcBorders/>
          </w:tcPr>
          <w:p>
            <w:pPr>
              <w:pStyle w:val="TableContents"/>
              <w:bidi w:val="0"/>
              <w:spacing w:before="0" w:after="20"/>
              <w:jc w:val="left"/>
              <w:rPr>
                <w:rFonts w:ascii="Times New Roman" w:hAnsi="Times New Roman"/>
                <w:sz w:val="20"/>
              </w:rPr>
            </w:pPr>
            <w:r>
              <w:rPr>
                <w:rFonts w:ascii="Times New Roman" w:hAnsi="Times New Roman"/>
                <w:sz w:val="20"/>
              </w:rPr>
              <w:t>[Intentionally Omitted]</w:t>
            </w:r>
          </w:p>
        </w:tc>
      </w:tr>
      <w:tr>
        <w:trPr>
          <w:trHeight w:val="120" w:hRule="atLeast"/>
        </w:trPr>
        <w:tc>
          <w:tcPr>
            <w:tcW w:w="2624" w:type="dxa"/>
            <w:tcBorders/>
            <w:vAlign w:val="center"/>
          </w:tcPr>
          <w:p>
            <w:pPr>
              <w:pStyle w:val="TableContents"/>
              <w:bidi w:val="0"/>
              <w:spacing w:before="0" w:after="283"/>
              <w:jc w:val="left"/>
              <w:rPr>
                <w:sz w:val="4"/>
                <w:szCs w:val="4"/>
              </w:rPr>
            </w:pPr>
            <w:r>
              <w:rPr>
                <w:sz w:val="4"/>
                <w:szCs w:val="4"/>
              </w:rPr>
            </w:r>
          </w:p>
        </w:tc>
        <w:tc>
          <w:tcPr>
            <w:tcW w:w="7581" w:type="dxa"/>
            <w:gridSpan w:val="2"/>
            <w:tcBorders/>
            <w:vAlign w:val="center"/>
          </w:tcPr>
          <w:p>
            <w:pPr>
              <w:pStyle w:val="TableContents"/>
              <w:bidi w:val="0"/>
              <w:spacing w:before="0" w:after="283"/>
              <w:jc w:val="left"/>
              <w:rPr>
                <w:sz w:val="4"/>
                <w:szCs w:val="4"/>
              </w:rPr>
            </w:pPr>
            <w:r>
              <w:rPr>
                <w:sz w:val="4"/>
                <w:szCs w:val="4"/>
              </w:rPr>
            </w:r>
          </w:p>
        </w:tc>
      </w:tr>
      <w:tr>
        <w:trPr/>
        <w:tc>
          <w:tcPr>
            <w:tcW w:w="2624" w:type="dxa"/>
            <w:tcBorders/>
          </w:tcPr>
          <w:p>
            <w:pPr>
              <w:pStyle w:val="TableContents"/>
              <w:bidi w:val="0"/>
              <w:spacing w:before="0" w:after="283"/>
              <w:jc w:val="left"/>
              <w:rPr>
                <w:b/>
              </w:rPr>
            </w:pPr>
            <w:r>
              <w:rPr>
                <w:b/>
              </w:rPr>
              <w:t>Joint Bookrunners:</w:t>
            </w:r>
          </w:p>
        </w:tc>
        <w:tc>
          <w:tcPr>
            <w:tcW w:w="122" w:type="dxa"/>
            <w:tcBorders/>
            <w:vAlign w:val="bottom"/>
          </w:tcPr>
          <w:p>
            <w:pPr>
              <w:pStyle w:val="TableContents"/>
              <w:bidi w:val="0"/>
              <w:spacing w:before="0" w:after="283"/>
              <w:jc w:val="left"/>
              <w:rPr/>
            </w:pPr>
            <w:r>
              <w:rPr/>
              <w:t>  </w:t>
            </w:r>
          </w:p>
        </w:tc>
        <w:tc>
          <w:tcPr>
            <w:tcW w:w="7459"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Truist Securities, Inc.</w:t>
            </w:r>
          </w:p>
          <w:p>
            <w:pPr>
              <w:pStyle w:val="TableContents"/>
              <w:bidi w:val="0"/>
              <w:spacing w:before="0" w:after="0"/>
              <w:jc w:val="left"/>
              <w:rPr>
                <w:rFonts w:ascii="Times New Roman" w:hAnsi="Times New Roman"/>
                <w:sz w:val="20"/>
              </w:rPr>
            </w:pPr>
            <w:r>
              <w:rPr>
                <w:rFonts w:ascii="Times New Roman" w:hAnsi="Times New Roman"/>
                <w:sz w:val="20"/>
              </w:rPr>
              <w:t>Wells Fargo Securities, LLC</w:t>
            </w:r>
          </w:p>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BMO Capital Markets Corp.</w:t>
            </w:r>
          </w:p>
          <w:p>
            <w:pPr>
              <w:pStyle w:val="TableContents"/>
              <w:bidi w:val="0"/>
              <w:spacing w:before="0" w:after="0"/>
              <w:jc w:val="left"/>
              <w:rPr>
                <w:rFonts w:ascii="Times New Roman" w:hAnsi="Times New Roman"/>
                <w:sz w:val="20"/>
              </w:rPr>
            </w:pPr>
            <w:r>
              <w:rPr>
                <w:rFonts w:ascii="Times New Roman" w:hAnsi="Times New Roman"/>
                <w:sz w:val="20"/>
              </w:rPr>
              <w:t>Citizens JMP Securities, LLC</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20"/>
              <w:jc w:val="left"/>
              <w:rPr>
                <w:rFonts w:ascii="Times New Roman" w:hAnsi="Times New Roman"/>
                <w:sz w:val="20"/>
              </w:rPr>
            </w:pPr>
            <w:r>
              <w:rPr>
                <w:rFonts w:ascii="Times New Roman" w:hAnsi="Times New Roman"/>
                <w:sz w:val="20"/>
              </w:rPr>
              <w:t>U.S. Bancorp Investments, Inc.</w:t>
            </w:r>
          </w:p>
        </w:tc>
      </w:tr>
      <w:tr>
        <w:trPr>
          <w:trHeight w:val="120" w:hRule="atLeast"/>
        </w:trPr>
        <w:tc>
          <w:tcPr>
            <w:tcW w:w="2624" w:type="dxa"/>
            <w:tcBorders/>
            <w:vAlign w:val="center"/>
          </w:tcPr>
          <w:p>
            <w:pPr>
              <w:pStyle w:val="TableContents"/>
              <w:bidi w:val="0"/>
              <w:spacing w:before="0" w:after="283"/>
              <w:jc w:val="left"/>
              <w:rPr>
                <w:sz w:val="4"/>
                <w:szCs w:val="4"/>
              </w:rPr>
            </w:pPr>
            <w:r>
              <w:rPr>
                <w:sz w:val="4"/>
                <w:szCs w:val="4"/>
              </w:rPr>
            </w:r>
          </w:p>
        </w:tc>
        <w:tc>
          <w:tcPr>
            <w:tcW w:w="7581" w:type="dxa"/>
            <w:gridSpan w:val="2"/>
            <w:tcBorders/>
            <w:vAlign w:val="center"/>
          </w:tcPr>
          <w:p>
            <w:pPr>
              <w:pStyle w:val="TableContents"/>
              <w:bidi w:val="0"/>
              <w:spacing w:before="0" w:after="283"/>
              <w:jc w:val="left"/>
              <w:rPr>
                <w:sz w:val="4"/>
                <w:szCs w:val="4"/>
              </w:rPr>
            </w:pPr>
            <w:r>
              <w:rPr>
                <w:sz w:val="4"/>
                <w:szCs w:val="4"/>
              </w:rPr>
            </w:r>
          </w:p>
        </w:tc>
      </w:tr>
      <w:tr>
        <w:trPr/>
        <w:tc>
          <w:tcPr>
            <w:tcW w:w="2624" w:type="dxa"/>
            <w:tcBorders/>
          </w:tcPr>
          <w:p>
            <w:pPr>
              <w:pStyle w:val="TableContents"/>
              <w:bidi w:val="0"/>
              <w:spacing w:before="0" w:after="283"/>
              <w:jc w:val="left"/>
              <w:rPr>
                <w:b/>
              </w:rPr>
            </w:pPr>
            <w:r>
              <w:rPr>
                <w:b/>
              </w:rPr>
              <w:t>Senior Co-Managers:</w:t>
            </w:r>
          </w:p>
        </w:tc>
        <w:tc>
          <w:tcPr>
            <w:tcW w:w="122" w:type="dxa"/>
            <w:tcBorders/>
            <w:vAlign w:val="bottom"/>
          </w:tcPr>
          <w:p>
            <w:pPr>
              <w:pStyle w:val="TableContents"/>
              <w:bidi w:val="0"/>
              <w:spacing w:before="0" w:after="283"/>
              <w:jc w:val="left"/>
              <w:rPr/>
            </w:pPr>
            <w:r>
              <w:rPr/>
              <w:t>  </w:t>
            </w:r>
          </w:p>
        </w:tc>
        <w:tc>
          <w:tcPr>
            <w:tcW w:w="7459" w:type="dxa"/>
            <w:tcBorders/>
          </w:tcPr>
          <w:p>
            <w:pPr>
              <w:pStyle w:val="TableContents"/>
              <w:bidi w:val="0"/>
              <w:spacing w:before="0" w:after="0"/>
              <w:jc w:val="left"/>
              <w:rPr>
                <w:rFonts w:ascii="Times New Roman" w:hAnsi="Times New Roman"/>
                <w:sz w:val="20"/>
              </w:rPr>
            </w:pPr>
            <w:r>
              <w:rPr>
                <w:rFonts w:ascii="Times New Roman" w:hAnsi="Times New Roman"/>
                <w:sz w:val="20"/>
              </w:rPr>
              <w:t>Capital One Securities, Inc.</w:t>
            </w:r>
          </w:p>
          <w:p>
            <w:pPr>
              <w:pStyle w:val="TableContents"/>
              <w:bidi w:val="0"/>
              <w:spacing w:before="0" w:after="20"/>
              <w:jc w:val="left"/>
              <w:rPr>
                <w:rFonts w:ascii="Times New Roman" w:hAnsi="Times New Roman"/>
                <w:sz w:val="20"/>
              </w:rPr>
            </w:pPr>
            <w:r>
              <w:rPr>
                <w:rFonts w:ascii="Times New Roman" w:hAnsi="Times New Roman"/>
                <w:sz w:val="20"/>
              </w:rPr>
              <w:t>KeyBanc Capital Markets Inc.</w:t>
            </w:r>
          </w:p>
        </w:tc>
      </w:tr>
      <w:tr>
        <w:trPr>
          <w:trHeight w:val="120" w:hRule="atLeast"/>
        </w:trPr>
        <w:tc>
          <w:tcPr>
            <w:tcW w:w="2624" w:type="dxa"/>
            <w:tcBorders/>
            <w:vAlign w:val="center"/>
          </w:tcPr>
          <w:p>
            <w:pPr>
              <w:pStyle w:val="TableContents"/>
              <w:bidi w:val="0"/>
              <w:spacing w:before="0" w:after="283"/>
              <w:jc w:val="left"/>
              <w:rPr>
                <w:sz w:val="4"/>
                <w:szCs w:val="4"/>
              </w:rPr>
            </w:pPr>
            <w:r>
              <w:rPr>
                <w:sz w:val="4"/>
                <w:szCs w:val="4"/>
              </w:rPr>
            </w:r>
          </w:p>
        </w:tc>
        <w:tc>
          <w:tcPr>
            <w:tcW w:w="7581" w:type="dxa"/>
            <w:gridSpan w:val="2"/>
            <w:tcBorders/>
            <w:vAlign w:val="center"/>
          </w:tcPr>
          <w:p>
            <w:pPr>
              <w:pStyle w:val="TableContents"/>
              <w:bidi w:val="0"/>
              <w:spacing w:before="0" w:after="283"/>
              <w:jc w:val="left"/>
              <w:rPr>
                <w:sz w:val="4"/>
                <w:szCs w:val="4"/>
              </w:rPr>
            </w:pPr>
            <w:r>
              <w:rPr>
                <w:sz w:val="4"/>
                <w:szCs w:val="4"/>
              </w:rPr>
            </w:r>
          </w:p>
        </w:tc>
      </w:tr>
      <w:tr>
        <w:trPr/>
        <w:tc>
          <w:tcPr>
            <w:tcW w:w="2624" w:type="dxa"/>
            <w:tcBorders/>
          </w:tcPr>
          <w:p>
            <w:pPr>
              <w:pStyle w:val="TableContents"/>
              <w:bidi w:val="0"/>
              <w:spacing w:before="0" w:after="283"/>
              <w:jc w:val="left"/>
              <w:rPr>
                <w:b/>
              </w:rPr>
            </w:pPr>
            <w:r>
              <w:rPr>
                <w:b/>
              </w:rPr>
              <w:t>Co-Managers:</w:t>
            </w:r>
          </w:p>
        </w:tc>
        <w:tc>
          <w:tcPr>
            <w:tcW w:w="122" w:type="dxa"/>
            <w:tcBorders/>
            <w:vAlign w:val="bottom"/>
          </w:tcPr>
          <w:p>
            <w:pPr>
              <w:pStyle w:val="TableContents"/>
              <w:bidi w:val="0"/>
              <w:spacing w:before="0" w:after="283"/>
              <w:jc w:val="left"/>
              <w:rPr/>
            </w:pPr>
            <w:r>
              <w:rPr/>
              <w:t>  </w:t>
            </w:r>
          </w:p>
        </w:tc>
        <w:tc>
          <w:tcPr>
            <w:tcW w:w="7459" w:type="dxa"/>
            <w:tcBorders/>
          </w:tcPr>
          <w:p>
            <w:pPr>
              <w:pStyle w:val="TableContents"/>
              <w:bidi w:val="0"/>
              <w:spacing w:before="0" w:after="20"/>
              <w:jc w:val="left"/>
              <w:rPr>
                <w:rFonts w:ascii="Times New Roman" w:hAnsi="Times New Roman"/>
                <w:sz w:val="20"/>
              </w:rPr>
            </w:pPr>
            <w:r>
              <w:rPr>
                <w:rFonts w:ascii="Times New Roman" w:hAnsi="Times New Roman"/>
                <w:sz w:val="20"/>
              </w:rPr>
              <w:t>BBVA Securities Inc.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b/>
                <w:sz w:val="20"/>
              </w:rPr>
              <w:t>Note</w:t>
            </w:r>
            <w:r>
              <w:rPr>
                <w:rFonts w:ascii="Times New Roman" w:hAnsi="Times New Roman"/>
                <w:sz w:val="20"/>
              </w:rPr>
              <w:t xml:space="preserve">: A securities rating is not a recommendation to buy, sell or hold securities and may be subject to revision or withdrawal at any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communication supersedes the information in the preliminary prospectus supplement to the extent it is inconsistent with such information. Other information presented in the preliminary prospectus supplement is deemed to have changed to the extent affected by the changes described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The issuer has filed a registration statement (including a prospectus) with the U.S. Securities and Exchange Commission (SEC) for this offering. Before you invest, you should read the prospectus for this offering in that registration statement, and other documents the issuer has filed with the SEC for more complete information about the issuer and this offering. You may get these documents for free by searching the SEC online database (EDGAR®) at </w:t>
      </w:r>
      <w:r>
        <w:rPr>
          <w:rFonts w:ascii="Times New Roman" w:hAnsi="Times New Roman"/>
          <w:b/>
          <w:i/>
          <w:sz w:val="20"/>
        </w:rPr>
        <w:t>www.sec.gov</w:t>
      </w:r>
      <w:r>
        <w:rPr>
          <w:rFonts w:ascii="Times New Roman" w:hAnsi="Times New Roman"/>
          <w:b/>
          <w:sz w:val="20"/>
        </w:rPr>
        <w:t xml:space="preserve">. Alternatively, the issuer, any underwriter or any dealer participating in the offering will arrange to send you a copy of the prospectus if you request it by contacting PNC Capital Markets LLC at 1 (855) 881-0697 (toll-free); Truist Securities, Inc. at 1 (800) 685-4786 (toll-free); Wells Fargo Securities LLC at 1 (800) 645-3751 (toll-free); BofA Securities, Inc. at 1 (800) 294-1322 (toll-free); or J.P. Morgan Securities LLC at (212) 834-4533 (collect). </w:t>
      </w:r>
    </w:p>
    <w:p>
      <w:pPr>
        <w:pStyle w:val="TextBody"/>
        <w:bidi w:val="0"/>
        <w:spacing w:before="240" w:after="0"/>
        <w:jc w:val="left"/>
        <w:rPr>
          <w:rFonts w:ascii="Times New Roman" w:hAnsi="Times New Roman"/>
          <w:b/>
          <w:sz w:val="20"/>
        </w:rPr>
      </w:pPr>
      <w:r>
        <w:rPr>
          <w:rFonts w:ascii="Times New Roman" w:hAnsi="Times New Roman"/>
          <w:b/>
          <w:sz w:val="20"/>
        </w:rPr>
        <w:t xml:space="preserve">Any disclaimers or other notices that may appear below are not applicable to this communication and should be disregarded. Such disclaimers or other notices were automatically generated as a result of this communication being sent via Bloomberg email or another communication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Opinion of Fried, Frank, Harris, Shriver &amp; Jacobson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Opinion and Negative Assurance Letter of Holland &amp; Knight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 </w:t>
      </w:r>
    </w:p>
    <w:p>
      <w:pPr>
        <w:pStyle w:val="TextBody"/>
        <w:bidi w:val="0"/>
        <w:spacing w:before="0" w:after="0"/>
        <w:jc w:val="right"/>
        <w:rPr>
          <w:rFonts w:ascii="Times New Roman" w:hAnsi="Times New Roman"/>
          <w:b/>
          <w:sz w:val="20"/>
        </w:rPr>
      </w:pPr>
      <w:bookmarkStart w:id="4" w:name="d165744dex991.htm"/>
      <w:bookmarkStart w:id="5" w:name="ksd165744dex991"/>
      <w:bookmarkEnd w:id="4"/>
      <w:bookmarkEnd w:id="5"/>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MasTec Announces Pricing of $650,000,000 of Senior Notes </w:t>
      </w:r>
    </w:p>
    <w:p>
      <w:pPr>
        <w:pStyle w:val="TextBody"/>
        <w:bidi w:val="0"/>
        <w:spacing w:before="240" w:after="0"/>
        <w:jc w:val="left"/>
        <w:rPr>
          <w:rFonts w:ascii="Times New Roman" w:hAnsi="Times New Roman"/>
          <w:sz w:val="20"/>
        </w:rPr>
      </w:pPr>
      <w:r>
        <w:rPr>
          <w:rFonts w:ascii="Times New Roman" w:hAnsi="Times New Roman"/>
          <w:sz w:val="20"/>
        </w:rPr>
        <w:t xml:space="preserve">CORAL GABLES, Fla., August 6, 2026 /PRNewswire/ — MasTec, Inc. (NYSE: MTZ) (“MasTec”) today announced the pricing of its public offering of $650,000,000 aggregate principal amount of senior notes due 2036. The notes will pay interest semi-annually at a rate of 5.850% and will mature on September 30, 2036. The notes were priced at 99.656%.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MasTec’s senior unsecured obligations and will rank equal in right of payment with all existing and future senior unsecured indebtedness of MasTec, and senior in right of payment to any future subordinated indebtedness of MasTec. The notes will be effectively subordinated to all secured indebtedness of MasTec, to the extent of the value of the assets securing such indebtedness. The notes will be structurally subordinated to all of the liabilities of the subsidiaries of MasTec, including trade payables. </w:t>
      </w:r>
    </w:p>
    <w:p>
      <w:pPr>
        <w:pStyle w:val="TextBody"/>
        <w:bidi w:val="0"/>
        <w:spacing w:before="240" w:after="0"/>
        <w:jc w:val="left"/>
        <w:rPr>
          <w:rFonts w:ascii="Times New Roman" w:hAnsi="Times New Roman"/>
          <w:sz w:val="20"/>
        </w:rPr>
      </w:pPr>
      <w:r>
        <w:rPr>
          <w:rFonts w:ascii="Times New Roman" w:hAnsi="Times New Roman"/>
          <w:sz w:val="20"/>
        </w:rPr>
        <w:t xml:space="preserve">MasTec intends to use the net proceeds from the offering to repay some or all of its $600 million term loan under its term loan agreement that matures on June 26, 2028 and to pay related fees and expenses. MasTec intends to use any remaining net proceeds thereafter for general corporate purposes, which may include the repayment of existing indebtedness, including borrowings under MasTec’s senior unsecured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MasTec expects to close the notes offering on August 17,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PNC Capital Markets LLC, Truist Securities, Inc., Wells Fargo Securities, LLC, BofA Securities, Inc. and J.P. Morgan Securities LLC are acting as joint book-running managers for the notes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the senior notes, nor shall there be any sale of the senior notes in any state or jurisdiction in which such an offer, solicitation or sale would be unlawful prior to the registration or qualification under the securities laws of any such state or jurisdiction. A shelf registration statement relating to the notes was filed with the Securities and Exchange Commission and is effective. A written prospectus and accompanying base prospectus for this offering describing the terms of the offering and meeting the requirements of Section 10 of the Securities Act of 1933 (other than a free writing prospectus as defined in Securities Act Rule 405) will be filed with the Securities and Exchange Commission and when available may be obtained for free by visiting EDGAR on the SEC website at www.sec.gov or by contacting PNC Capital Markets LLC, 300 Fifth Avenue, 10th Floor Pittsburgh, Pennsylvania 15222, Attention: Investment Operations Securities Settlement, by calling 1 (855) 881-0697 (toll-free), or by emailing pnccmprospectus@pnc.com; Truist Securities, Inc., 740 Battery Avenue SE, 3rd Fl, Atlanta, GA 30339, Attention: Prospectus Dept, by calling (800) 685-4786 (toll-free); Wells Fargo Securities, 608 2nd Avenue South, Suite 1000, Minneapolis, MN 55402, Attention: WFS Customer Service, by emailing wfscustomerservice@wellsfargo.com or by calling 1 (800) 645-3751 (toll-free); BofA Securities, Inc., 201 North Tryon Street, NC1-022-02-25, Charlotte NC 28255-0001, Attention: Prospectus Department, by calling 1 (800) 294-1322 (toll-free), or by emailing dg.prospectus_requests@bofa.com; and J.P. Morgan Securities LLC, 270 Park Ave, New York, New York 10017, Attention: Investment Grade Syndicate Desk, by calling (212) 834-4533 (collect).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About MasTec </w:t>
      </w:r>
    </w:p>
    <w:p>
      <w:pPr>
        <w:pStyle w:val="TextBody"/>
        <w:bidi w:val="0"/>
        <w:spacing w:before="120" w:after="0"/>
        <w:jc w:val="left"/>
        <w:rPr>
          <w:rFonts w:ascii="Times New Roman" w:hAnsi="Times New Roman"/>
          <w:sz w:val="20"/>
        </w:rPr>
      </w:pPr>
      <w:r>
        <w:rPr>
          <w:rFonts w:ascii="Times New Roman" w:hAnsi="Times New Roman"/>
          <w:sz w:val="20"/>
        </w:rPr>
        <w:t xml:space="preserve">MasTec, Inc. is a leading North American infrastructure engineering and construction company focused primarily on engineering, building, installation, maintenance and upgrade of communications, energy and utility and other infrastructure, such as: wireless, wireline/fiber; power delivery infrastructure, including transmission, distribution,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the construction and maintenance of buildings, roads, bridges, rail, water/sewer systems and other civil infrastructure, including data center infrastructure; and environmental remediation services. MasTec’s customers are primarily in these industries.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contains forward-looking statements within the meaning of the Private Securities Litigation Reform Act. Forward-looking statements include, but are not limited to, statements relating to the terms, timing and completion of the offering of notes by MasTec, including the anticipated use of proceeds therefrom, expectations regarding the future financial and operational performance of MasTec; expectations regarding MasTec’s business or financial outlook; expectations regarding MasTec’s plans, strategies and opportunities; expectations regarding opportunities, technological developments, competitive positioning, future economic conditions and other trends in particular markets or industries; the impact of inflation on MasTec’s costs and the ability to recover increased costs, as well as other statements reflecting expectations, intentions, assumptions or beliefs about future events and other statements that do not relate strictly to historical or current facts. These statements are based on currently available operating, financial, economic and other information, and are subject to a number of significant risks and uncertainties. A variety of factors in addition to those mentioned above, many of which are beyond our control, could cause actual future results to differ materially from those projected in the forward-looking statements. Other factors that might cause such a difference include, but are not limited to: our ability to manage projects effectively and in accordance with our estimates, as well as our ability to accurately estimate the costs associated with our fixed price and other contracts, including any material changes in estimates for completion of projects and estimates of the recoverability of change orders; market conditions, including rising or elevated levels of inflation or interest rates, regulatory or policy changes, including permitting processes, tax incentives and government funding programs that affect us or our customers’ industries, access to capital, material and labor costs, supply chain issues and technological developments, all of which may affect demand for our services; changes to governmental programs and spending policies, changes to the amounts provided for under the Infrastructure Investment and Jobs Act and/or Inflation Reduction Act, including the potential for reduced support for renewable energy projects, such as a result of the One Big Beautiful Bill Act, changes in U.S. or foreign tax laws, statutes, rules, regulations or ordinances; tariff and trade actions, including retaliatory trade actions, by the United States and/or other countries on U.S. exports or bans by foreign countries on certain of their exports; project delays due to permitting processes, compliance with environmental and other regulatory requirements and challenges to the granting of project permits, which could cause increased costs and delayed or reduced revenue; the effect on demand for our services of changes in the amount of capital expenditures by our customers due to, among other things, economic conditions, including potential economic downturns, inflationary issues, tariff effects, the availability and cost of financing, supply chain disruptions, climate-related matters, customer consolidation in the industries we serve and/or the effects of public health matters; activity in the industries we serve and the impact on the expenditure levels of our customers of, among other items, fluctuations in commodity prices, including for fuel and energy sources, fluctuations in the cost of materials, labor, supplies or equipment, and/or supply-related issues that affect availability or cause delays for such items; the outcome of our plans for future operations, growth and services, including business development efforts, backlog, acquisitions and dispositions; risks related to completed or potential acquisitions, including our ability to integrate acquired businesses within expected timeframes, including their business operations, internal controls and/or systems, which may be found to have material weaknesses, and our ability to achieve the revenue, cost savings and earnings levels from such acquisitions at or above the levels projected, as well as the risk of potential asset impairment charges and write-downs of goodwill; our ability to attract and retain qualified personnel, key management and skilled employees, including from acquired businesses, our ability to enforce any noncompetition agreements, and our ability to maintain a workforce based upon current and anticipated workloads; any material changes in estimates for legal costs or case settlements or adverse determinations on any claim, lawsuit or proceeding; the adequacy of our insurance, legal and other reserves; adverse climate and weather events, such as the risk of wildfires, that increase operational and legal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risks in certain locations where we perform services, could increase the potential liability and related costs associated with such operations; the highly competitive nature of our industry and the ability of our customers, including our largest customers, to terminate or reduce the amount of work, or in some cases, the prices paid for services, on short or no notice under our contracts, and/or customer disputes related to our performance of services and the resolution of unapproved change orders; the effect of regulatory initiatives, including risks related to, and the costs of compliance with, existing and potential future sustainability requirements, including with respect to climate-related matters; the timing and extent of fluctuations in operational, geographic and weather factors, including from climate-related events, that affect our customers, projects and the industries in which we operate; requirements of and restrictions imposed by our credit facility, term loans, senior notes and any future loans or securities; systems and information technology interruptions and/or data security breaches that could adversely affect our ability to operate, our operating results, our data security or our reputation, or other cybersecurity-related matters; our dependence on a limited number of customers and our ability to replace non-recurring projects with new projects; risks associated with potential environmental issues and other hazards from our operations; disputes with, or failures of, our subcontractors to deliver agreed-upon supplies or services in a timely fashion, and the risk of being required to pay our subcontractors even if our customers do not pay us; risks related to our strategic arrangements, including our equity investments; risks associated with volatility of our stock price or any dilution or stock price volatility that shareholders may experience, including as a result of shares we may issue as purchase consideration in connection with acquisitions, or as a result of other stock issuances; our ability to obtain performance and surety bonds; risks associated with operating in or expanding into additional international markets, including risks from increased tariffs, fluctuations in foreign currencies, foreign labor and general business conditions and risks from failure to comply with laws applicable to our foreign activities and/or governmental policy uncertainty; risks related to our operations that employ a unionized workforce, including labor availability, productivity and relations, as well as risks associated with multiemployer union pension plans, including underfunding and withdrawal liabilities; risks associated with our internal controls over financial reporting; risks related to a small number of our existing shareholders having the ability to influence major corporate decisions; as well as other risks detailed in our filings with the Securities and Exchange Commission. </w:t>
      </w:r>
    </w:p>
    <w:p>
      <w:pPr>
        <w:pStyle w:val="TextBody"/>
        <w:bidi w:val="0"/>
        <w:spacing w:before="240" w:after="0"/>
        <w:jc w:val="left"/>
        <w:rPr>
          <w:rFonts w:ascii="Times New Roman" w:hAnsi="Times New Roman"/>
          <w:i/>
          <w:sz w:val="20"/>
        </w:rPr>
      </w:pPr>
      <w:r>
        <w:rPr>
          <w:rFonts w:ascii="Times New Roman" w:hAnsi="Times New Roman"/>
          <w:i/>
          <w:sz w:val="20"/>
        </w:rPr>
        <w:t xml:space="preserve">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our actual results may differ significantly from the results that we express in, or imply by, any of our forward-looking statements. These and other risks are detailed in our filings with the Securities and Exchange Commission. We do not undertake any obligation to publicly update or revise these forward-looking statements after the date of this press release to reflect future events or circumstances, except as required by applicable law. We qualify any and all of our forward-looking statements by these cautionary factors.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21057</Words>
  <Characters>113610</Characters>
  <CharactersWithSpaces>134718</CharactersWithSpaces>
  <Paragraphs>616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