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157480</wp:posOffset>
            </wp:positionV>
            <wp:extent cx="72466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183515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107315</wp:posOffset>
            </wp:positionV>
            <wp:extent cx="151765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127000</wp:posOffset>
            </wp:positionV>
            <wp:extent cx="151765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CURRENT REPORT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Section 13 or 15(d) of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The Securities Exchange Act of 1934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Date of report (Date of earliest event reported): October 20, 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114300</wp:posOffset>
            </wp:positionV>
            <wp:extent cx="15176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MASTEC, INC.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3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113665</wp:posOffset>
            </wp:positionV>
            <wp:extent cx="15176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Florida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(State or Other Jurisdiction of Incorporation)</w:t>
      </w:r>
    </w:p>
    <w:p>
      <w:pPr>
        <w:sectPr>
          <w:pgSz w:w="11900" w:h="16838" w:orient="portrait"/>
          <w:cols w:equalWidth="0" w:num="1">
            <w:col w:w="10760"/>
          </w:cols>
          <w:pgMar w:left="240" w:top="314" w:right="899" w:bottom="1440" w:gutter="0" w:footer="0" w:header="0"/>
        </w:sectPr>
      </w:pP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ind w:left="1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Florida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jc w:val="center"/>
        <w:ind w:right="2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0-08106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65-0829355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820" w:space="720"/>
            <w:col w:w="2920" w:space="720"/>
            <w:col w:w="1580"/>
          </w:cols>
          <w:pgMar w:left="240" w:top="314" w:right="899" w:bottom="1440" w:gutter="0" w:footer="0" w:header="0"/>
          <w:type w:val="continuous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(State or other jurisdiction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of 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(Commission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File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jc w:val="center"/>
        <w:ind w:right="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(IRS Employer</w:t>
      </w:r>
    </w:p>
    <w:p>
      <w:pPr>
        <w:jc w:val="center"/>
        <w:ind w:right="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Identification No.)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740" w:space="720"/>
            <w:col w:w="2880" w:space="720"/>
            <w:col w:w="1700"/>
          </w:cols>
          <w:pgMar w:left="240" w:top="314" w:right="899" w:bottom="1440" w:gutter="0" w:footer="0" w:header="0"/>
          <w:type w:val="continuous"/>
        </w:sect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800 S. Douglas Road, 12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th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 xml:space="preserve"> Floor, Coral Gables, Florida 33134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(Address of Principal Executive Offices) (Zip Code)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(305) 599-1800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(Registrant’s Telephone Number, Including Area Code)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N/A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3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(Former Name or Former Address, if Changed Since Last Report)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111125</wp:posOffset>
            </wp:positionV>
            <wp:extent cx="15176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760"/>
          </w:cols>
          <w:pgMar w:left="240" w:top="314" w:right="899" w:bottom="1440" w:gutter="0" w:footer="0" w:header="0"/>
          <w:type w:val="continuous"/>
        </w:sect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ind w:firstLine="456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9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9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9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88265</wp:posOffset>
            </wp:positionV>
            <wp:extent cx="724662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114300</wp:posOffset>
            </wp:positionV>
            <wp:extent cx="724662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760"/>
          </w:cols>
          <w:pgMar w:left="240" w:top="314" w:right="89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ITEM 1.02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Termination of a Material Definitive Agreement.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On October 20, 2010, MasTec, Inc. (“MasTec or the “Company”) through its wholly-owned subsidiary, Pumpco, Inc. (“Pumpco”), repaid its equipment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term loan with General Electric Capital Corporation (the “GE Equipment Loan”), which had an outstanding principal and accrued interest balance of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$13,410,540.97 with the proceeds from the BB&amp;T Equipment Loan described in Item 8.01 below. In connection with the refinancing, Pumpco paid a prepayment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penalty of $132,898.94.</w:t>
      </w: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8.01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Other Events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right="40" w:firstLine="456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October 20, 2010, the Company, through its wholly-owned subsidiary Pumpco, entered into an equipment term loan in the aggregate principal amount of $13,543,439.91 (the “BB&amp;T Equipment Loan”) with BB&amp;T Equipment Finance Corporation (“BB&amp;T”), which proceeds were used to pay off the GE Equipment Loan. The BB&amp;T Equipment Loan is secured by most of Pumpco’s existing equipment. The BB&amp;T Equipment Loan is payable in 36 monthly installments and bears interest at a fixed rate of 3.5267%. Prepayments of the BB&amp;T Equipment Loan are permitted after the first anniversary of the closing date subject to a prepayment fee of 1% of the then outstanding principal balance for any unscheduled prepayments made on or before the second anniversary. MasTec has guaranteed the BB&amp;T Equipment Loan.</w:t>
      </w:r>
    </w:p>
    <w:p>
      <w:pPr>
        <w:sectPr>
          <w:pgSz w:w="11900" w:h="16838" w:orient="portrait"/>
          <w:cols w:equalWidth="0" w:num="1">
            <w:col w:w="11360"/>
          </w:cols>
          <w:pgMar w:left="240" w:top="422" w:right="299" w:bottom="1440" w:gutter="0" w:footer="0" w:header="0"/>
        </w:sectPr>
      </w:pPr>
    </w:p>
    <w:bookmarkStart w:id="2" w:name="page3"/>
    <w:bookmarkEnd w:id="2"/>
    <w:p>
      <w:pPr>
        <w:jc w:val="center"/>
        <w:ind w:right="-8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SIGNATURES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firstLine="456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ind w:left="5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MASTEC, INC.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October 21, 2010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By: /s/ C. Robert Campbell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3778250</wp:posOffset>
            </wp:positionH>
            <wp:positionV relativeFrom="paragraph">
              <wp:posOffset>10795</wp:posOffset>
            </wp:positionV>
            <wp:extent cx="3473450" cy="889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34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5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C. Robert Campbell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Executive Vice President and Chief Financial Officer</w:t>
      </w:r>
    </w:p>
    <w:sectPr>
      <w:pgSz w:w="11900" w:h="16838" w:orient="portrait"/>
      <w:cols w:equalWidth="0" w:num="1">
        <w:col w:w="10540"/>
      </w:cols>
      <w:pgMar w:left="240" w:top="341" w:right="11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2019-12-09T21:55:10Z</dcterms:created>
  <dcterms:modified xsi:type="dcterms:W3CDTF">2019-12-09T21:55:10Z</dcterms:modified>
</cp:coreProperties>
</file>