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47631dfwp.htm"/>
      <w:bookmarkStart w:id="1" w:name="ksd147631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333-285425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August 6, 2026 </w:t>
      </w:r>
    </w:p>
    <w:p>
      <w:pPr>
        <w:pStyle w:val="TextBody"/>
        <w:bidi w:val="0"/>
        <w:spacing w:before="0" w:after="0"/>
        <w:jc w:val="right"/>
        <w:rPr>
          <w:rFonts w:ascii="Times New Roman" w:hAnsi="Times New Roman"/>
          <w:b/>
          <w:sz w:val="20"/>
        </w:rPr>
      </w:pPr>
      <w:r>
        <w:rPr>
          <w:rFonts w:ascii="Times New Roman" w:hAnsi="Times New Roman"/>
          <w:b/>
          <w:sz w:val="20"/>
        </w:rPr>
        <w:t xml:space="preserve">Supplementing the Prospectus dated February 28, 2025 and </w:t>
      </w:r>
    </w:p>
    <w:p>
      <w:pPr>
        <w:pStyle w:val="TextBody"/>
        <w:bidi w:val="0"/>
        <w:spacing w:before="0" w:after="0"/>
        <w:jc w:val="right"/>
        <w:rPr>
          <w:rFonts w:ascii="Times New Roman" w:hAnsi="Times New Roman"/>
          <w:b/>
          <w:sz w:val="20"/>
        </w:rPr>
      </w:pPr>
      <w:r>
        <w:rPr>
          <w:rFonts w:ascii="Times New Roman" w:hAnsi="Times New Roman"/>
          <w:b/>
          <w:sz w:val="20"/>
        </w:rPr>
        <w:t xml:space="preserve">the Preliminary Prospectus Supplement dated August 6, 2026 </w:t>
      </w:r>
    </w:p>
    <w:p>
      <w:pPr>
        <w:pStyle w:val="TextBody"/>
        <w:bidi w:val="0"/>
        <w:spacing w:before="240" w:after="0"/>
        <w:jc w:val="center"/>
        <w:rPr>
          <w:rFonts w:ascii="Times New Roman" w:hAnsi="Times New Roman"/>
          <w:sz w:val="20"/>
        </w:rPr>
      </w:pPr>
      <w:r>
        <w:rPr>
          <w:rFonts w:ascii="Times New Roman" w:hAnsi="Times New Roman"/>
          <w:sz w:val="20"/>
        </w:rPr>
        <w:t xml:space="preserve">Pricing Term Sheet </w:t>
      </w:r>
    </w:p>
    <w:p>
      <w:pPr>
        <w:pStyle w:val="TextBody"/>
        <w:bidi w:val="0"/>
        <w:spacing w:before="0" w:after="0"/>
        <w:jc w:val="center"/>
        <w:rPr>
          <w:rFonts w:ascii="Times New Roman" w:hAnsi="Times New Roman"/>
          <w:sz w:val="20"/>
        </w:rPr>
      </w:pPr>
      <w:r>
        <w:rPr>
          <w:rFonts w:ascii="Times New Roman" w:hAnsi="Times New Roman"/>
          <w:sz w:val="20"/>
        </w:rPr>
        <w:t xml:space="preserve">August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 xml:space="preserve">5.850%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Issuer: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MasTec,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Principal Amount: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$650,000,000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Security Type: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Senior Notes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Legal Format: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SEC Registered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Trade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August 6,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Settlement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August 17, 2026 (T+7)1</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Maturity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September 30,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Price to Public:</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99.656% of principal amount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Underwriting Discount: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0.65% of principal amount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Net Proceeds (before expenses) to Issuer: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$643,539,000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Coupon: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5.850%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Benchmark Treasury: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4.375% due May 15,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Benchmark Treasury Price and Yield:</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97-21+ / 4.674%</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Spread to Benchmark Treasury: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+122 basis points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Yield to Maturity: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5.894%</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Rule 15c6-1 of the Securities Exchange Act of 1934, as amended, trades in the secondary market generally are required to settle in one business day, unless the parties to such trade expressly agree otherwise. Accordingly, purchasers who wish to trade the notes on any date prior to the business day before delivery will be required, by virtue of the fact that the notes initially will settle in seven business days (T+7), to specify an alternative settlement arrangement at the time of any such trade to prevent a failed settlement. Purchasers of the notes who wish to trade the notes prior to the business day preceding the date of delivery hereunder should consult their advisors.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Interest Payment Dates: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Semi-annually on March 30 and September 30, commencing on March 30, 2027</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Record Dates: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March 15 and September 15</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Day Count Convention: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30 / 360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Optional Redemption: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Prior to June 30, 2036 (the “Par Call Date”), at a redemption price equal to the greater of (i) (a) the sum of the present values of the remaining scheduled payments of principal and interest thereon discounted to the redemption date (assuming the notes matured on the Par Call Date) at the Treasury Rate +20 basis points less (b) interest accrued to, but excluding, the redemption date, and (ii) 100% of the principal amount of the notes being redeemed, plus, in either case (i) or (ii), accrued and unpaid interest on the principal amount being redeemed to, but excluding,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and after the Par Call Date, at a redemption price equal to 100% of the principal amount of the notes being redeemed, plus any accrued and unpaid interest on the notes being redeemed to, but excluding, the redemption date.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Denominations: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$2,000 and multiples of $1,000 in excess thereof.</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CUSIP:</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0"/>
              <w:jc w:val="left"/>
              <w:rPr>
                <w:rFonts w:ascii="Times New Roman" w:hAnsi="Times New Roman"/>
                <w:sz w:val="20"/>
              </w:rPr>
            </w:pPr>
            <w:r>
              <w:rPr>
                <w:rFonts w:ascii="Times New Roman" w:hAnsi="Times New Roman"/>
                <w:sz w:val="20"/>
              </w:rPr>
              <w:t>576323 AU3</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ISIN: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0"/>
              <w:jc w:val="left"/>
              <w:rPr>
                <w:rFonts w:ascii="Times New Roman" w:hAnsi="Times New Roman"/>
                <w:sz w:val="20"/>
              </w:rPr>
            </w:pPr>
            <w:r>
              <w:rPr>
                <w:rFonts w:ascii="Times New Roman" w:hAnsi="Times New Roman"/>
                <w:sz w:val="20"/>
              </w:rPr>
              <w:t>US576323AU37</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Ratings*: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Baa3 (Moody’s)</w:t>
            </w:r>
          </w:p>
          <w:p>
            <w:pPr>
              <w:pStyle w:val="TableContents"/>
              <w:bidi w:val="0"/>
              <w:spacing w:before="0" w:after="0"/>
              <w:jc w:val="left"/>
              <w:rPr>
                <w:rFonts w:ascii="Times New Roman" w:hAnsi="Times New Roman"/>
                <w:sz w:val="20"/>
              </w:rPr>
            </w:pPr>
            <w:r>
              <w:rPr>
                <w:rFonts w:ascii="Times New Roman" w:hAnsi="Times New Roman"/>
                <w:sz w:val="20"/>
              </w:rPr>
              <w:t>BBB- (S&amp;P)</w:t>
            </w:r>
          </w:p>
          <w:p>
            <w:pPr>
              <w:pStyle w:val="TableContents"/>
              <w:bidi w:val="0"/>
              <w:spacing w:before="0" w:after="20"/>
              <w:jc w:val="left"/>
              <w:rPr>
                <w:rFonts w:ascii="Times New Roman" w:hAnsi="Times New Roman"/>
                <w:sz w:val="20"/>
              </w:rPr>
            </w:pPr>
            <w:r>
              <w:rPr>
                <w:rFonts w:ascii="Times New Roman" w:hAnsi="Times New Roman"/>
                <w:sz w:val="20"/>
              </w:rPr>
              <w:t>BBB- (Fitch)</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Joint Bookrunners: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Senior Co-Managers: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p>
            <w:pPr>
              <w:pStyle w:val="TableContents"/>
              <w:bidi w:val="0"/>
              <w:spacing w:before="0" w:after="20"/>
              <w:jc w:val="left"/>
              <w:rPr>
                <w:rFonts w:ascii="Times New Roman" w:hAnsi="Times New Roman"/>
                <w:sz w:val="20"/>
              </w:rPr>
            </w:pPr>
            <w:r>
              <w:rPr>
                <w:rFonts w:ascii="Times New Roman" w:hAnsi="Times New Roman"/>
                <w:sz w:val="20"/>
              </w:rPr>
              <w:t>KeyBanc Capital Markets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Co-Managers: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0"/>
              <w:jc w:val="left"/>
              <w:rPr>
                <w:rFonts w:ascii="Times New Roman" w:hAnsi="Times New Roman"/>
                <w:sz w:val="20"/>
              </w:rPr>
            </w:pPr>
            <w:r>
              <w:rPr>
                <w:rFonts w:ascii="Times New Roman" w:hAnsi="Times New Roman"/>
                <w:sz w:val="20"/>
              </w:rPr>
              <w:t>BBVA Securities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communication supersedes the information in the preliminary prospectus supplement to the extent it is inconsistent with such information. Other information presented in the preliminary prospectus supplement is deemed to have changed to the extent affected by the changes described herein. </w:t>
      </w:r>
    </w:p>
    <w:p>
      <w:pPr>
        <w:pStyle w:val="TextBody"/>
        <w:bidi w:val="0"/>
        <w:spacing w:before="240" w:after="0"/>
        <w:jc w:val="left"/>
        <w:rPr>
          <w:rFonts w:ascii="Times New Roman" w:hAnsi="Times New Roman"/>
          <w:sz w:val="20"/>
        </w:rPr>
      </w:pPr>
      <w:r>
        <w:rPr>
          <w:rFonts w:ascii="Times New Roman" w:hAnsi="Times New Roman"/>
          <w:b/>
          <w:sz w:val="20"/>
        </w:rPr>
        <w:t xml:space="preserve">The issuer has filed a registration statement (including a prospectus) with the U.S. Securities and Exchange Commission (SEC) for this offering. Before you invest, you should read the prospectus for this offering in that registration statement, and other documents the issuer has filed with the SEC for more complete information about the issuer and this offering. You may get these documents for free by searching the SEC online database (EDGAR®) at </w:t>
      </w:r>
      <w:r>
        <w:rPr>
          <w:rFonts w:ascii="Times New Roman" w:hAnsi="Times New Roman"/>
          <w:b/>
          <w:i/>
          <w:sz w:val="20"/>
        </w:rPr>
        <w:t>www.sec.gov</w:t>
      </w:r>
      <w:r>
        <w:rPr>
          <w:rFonts w:ascii="Times New Roman" w:hAnsi="Times New Roman"/>
          <w:b/>
          <w:sz w:val="20"/>
        </w:rPr>
        <w:t xml:space="preserve">. Alternatively, the issuer, any underwriter or any dealer participating in the offering will arrange to send you a copy of the prospectus if you request it by contacting PNC Capital Markets LLC at 1 (855) 881-0697 (toll-free); Truist Securities, Inc. at 1 (800) 685-4786 (toll-free); Wells Fargo Securities LLC at 1 (800) 645-3751 (toll-free); BofA Securities, Inc. at 1 (800) 294-1322 (toll-free); or J.P. Morgan Securities LLC at (212) 834-4533 (collect).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email or another communication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738</Words>
  <Characters>3985</Characters>
  <CharactersWithSpaces>4714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