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790826.xml.htm"/>
      <w:bookmarkStart w:id="1" w:name="kswkform3_178579082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Spiro Alex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6312 RIVIERIA DRIVE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CORAL GABLES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MASTEC INC</w:t>
              </w:r>
            </w:hyperlink>
            <w:r>
              <w:rPr/>
              <w:t xml:space="preserve"> [ </w:t>
            </w:r>
            <w:r>
              <w:rPr>
                <w:rFonts w:ascii="Times;serif" w:hAnsi="Times;serif"/>
                <w:color w:val="0000FF"/>
                <w:sz w:val="24"/>
                <w:shd w:fill="FFFFFF" w:val="clear"/>
              </w:rPr>
              <w:t>MTZ</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LIMITED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Alberto de Cardenas For: Alex Spiro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83executedmastecsec.htm"/>
      <w:bookmarkStart w:id="3" w:name="ksa202683executedmastecsec"/>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Know all by these presents, that the undersigned hereby makes, constitutes and appoints Alberto de Cardenas as the undersigned's true and lawful attorney-in-fact, with full power and authority as hereinafter described on behalf of and in the name, place and stead of the undersigned to: (1) prepare, execute, acknowledge, deliver and file Forms 3, 4, and 5 (including any amendments thereto) with respect to the securities of MasTec, Inc., a Florida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 (2)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(3) submit a Form ID, and any amendments thereto, to the SEC to apply for filing codes that will allow insider reports to be filed electronically through the EDGAR system, if such codes have not been obtained previously; and (4) perform any and all other acts which in the discretion of such attorney-in-fact are necessary or desirable for and on behalf of the undersigned in connection with the foregoing. The undersigned acknowledges that: (1) this Power of Attorney authorizes, but does not require, each such attorney-in-fact to act in their discretion on information provided to such attorney-in-fact without independent verification of such information; (2) any documents prepared and/or executed by either such attorney-in- fact on behalf of the undersigned pursuant to this Power of Attorney will be in such form and will contain such information and disclosure as such attorney-in-fact, in his or her discretion, deems necessary or desirable; (3) neither the Company nor such attorney-in-fact assumes (i)any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 (4) this Power of Attorney does not relieve the undersigned from responsibility for compliance with the undersigned's obligations under the Exchange Act, including without limitation the reporting requirements under Section 16 of the Exchange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#542293053_v1 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 in-fact of, for and on behalf of the undersigned, shall lawfully do or cause to be done by virtue of this Limited Power of Attorney. This Power of Attorney shall remain in full force and effect until revoked by the undersigned in a signed writing delivered to each such attorney-in-fact. IN WITNESS WHEREOF, the undersigned has caused this Power of Attorney to be executed as of this 3rd day of August,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52478" TargetMode="External"/><Relationship Id="rId3" Type="http://schemas.openxmlformats.org/officeDocument/2006/relationships/hyperlink" Target="http://www.sec.gov/cgi-bin/browse-edgar?action=getcompany&amp;CIK=000001561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956</Words>
  <Characters>5254</Characters>
  <CharactersWithSpaces>6169</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a202683executedmastecsec</dc:title>
</cp:coreProperties>
</file>