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FORM 8-K/Amendment No. 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CURRENT REPORT</w:t>
      </w:r>
    </w:p>
    <w:p>
      <w:pPr>
        <w:ind w:left="200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24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5800"/>
        <w:spacing w:after="0"/>
        <w:rPr>
          <w:sz w:val="20"/>
          <w:szCs w:val="20"/>
          <w:color w:val="auto"/>
        </w:rPr>
      </w:pPr>
      <w:r>
        <w:rPr>
          <w:rFonts w:ascii="Courier New" w:cs="Courier New" w:eastAsia="Courier New" w:hAnsi="Courier New"/>
          <w:sz w:val="18"/>
          <w:szCs w:val="18"/>
          <w:color w:val="auto"/>
        </w:rPr>
        <w:t>March 11, 1994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MasTec,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00" w:lineRule="exact"/>
        <w:rPr>
          <w:sz w:val="24"/>
          <w:szCs w:val="24"/>
          <w:color w:val="auto"/>
        </w:rPr>
      </w:pPr>
    </w:p>
    <w:p>
      <w:pPr>
        <w:spacing w:after="0" w:line="221" w:lineRule="exact"/>
        <w:rPr>
          <w:sz w:val="24"/>
          <w:szCs w:val="24"/>
          <w:color w:val="auto"/>
        </w:rPr>
      </w:pPr>
    </w:p>
    <w:tbl>
      <w:tblPr>
        <w:tblLayout w:type="fixed"/>
        <w:tblInd w:w="106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74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0-3797</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59-1259279</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4"/>
          <w:szCs w:val="24"/>
          <w:color w:val="auto"/>
        </w:rPr>
      </w:pPr>
    </w:p>
    <w:p>
      <w:pPr>
        <w:ind w:left="220"/>
        <w:spacing w:after="0"/>
        <w:tabs>
          <w:tab w:leader="none" w:pos="3780" w:val="left"/>
          <w:tab w:leader="none" w:pos="66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740"/>
        <w:spacing w:after="0"/>
        <w:tabs>
          <w:tab w:leader="none" w:pos="3780" w:val="left"/>
          <w:tab w:leader="none" w:pos="61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7580" w:val="left"/>
        </w:tabs>
        <w:rPr>
          <w:sz w:val="20"/>
          <w:szCs w:val="20"/>
          <w:color w:val="auto"/>
        </w:rPr>
      </w:pPr>
      <w:r>
        <w:rPr>
          <w:rFonts w:ascii="Courier New" w:cs="Courier New" w:eastAsia="Courier New" w:hAnsi="Courier New"/>
          <w:sz w:val="18"/>
          <w:szCs w:val="18"/>
          <w:color w:val="auto"/>
        </w:rPr>
        <w:t>8600 N.W. 36th Street, Miami, Florida</w:t>
      </w:r>
      <w:r>
        <w:rPr>
          <w:sz w:val="20"/>
          <w:szCs w:val="20"/>
          <w:color w:val="auto"/>
        </w:rPr>
        <w:tab/>
      </w:r>
      <w:r>
        <w:rPr>
          <w:rFonts w:ascii="Courier New" w:cs="Courier New" w:eastAsia="Courier New" w:hAnsi="Courier New"/>
          <w:sz w:val="16"/>
          <w:szCs w:val="16"/>
          <w:color w:val="auto"/>
        </w:rPr>
        <w:t>33166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378" w:lineRule="exact"/>
        <w:rPr>
          <w:sz w:val="24"/>
          <w:szCs w:val="24"/>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6120"/>
        <w:spacing w:after="0"/>
        <w:rPr>
          <w:sz w:val="20"/>
          <w:szCs w:val="20"/>
          <w:color w:val="auto"/>
        </w:rPr>
      </w:pPr>
      <w:r>
        <w:rPr>
          <w:rFonts w:ascii="Courier New" w:cs="Courier New" w:eastAsia="Courier New" w:hAnsi="Courier New"/>
          <w:sz w:val="18"/>
          <w:szCs w:val="18"/>
          <w:color w:val="auto"/>
        </w:rPr>
        <w:t>(305) 599-1800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6120"/>
        <w:spacing w:after="0"/>
        <w:rPr>
          <w:sz w:val="20"/>
          <w:szCs w:val="20"/>
          <w:color w:val="auto"/>
        </w:rPr>
      </w:pPr>
      <w:r>
        <w:rPr>
          <w:rFonts w:ascii="Courier New" w:cs="Courier New" w:eastAsia="Courier New" w:hAnsi="Courier New"/>
          <w:sz w:val="18"/>
          <w:szCs w:val="18"/>
          <w:color w:val="auto"/>
        </w:rPr>
        <w:t>Page 1 of 31</w:t>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MasTec, Inc.</w:t>
      </w:r>
    </w:p>
    <w:p>
      <w:pPr>
        <w:spacing w:after="0" w:line="238" w:lineRule="auto"/>
        <w:rPr>
          <w:sz w:val="20"/>
          <w:szCs w:val="20"/>
          <w:color w:val="auto"/>
        </w:rPr>
      </w:pPr>
      <w:r>
        <w:rPr>
          <w:rFonts w:ascii="Courier New" w:cs="Courier New" w:eastAsia="Courier New" w:hAnsi="Courier New"/>
          <w:sz w:val="18"/>
          <w:szCs w:val="18"/>
          <w:color w:val="auto"/>
        </w:rPr>
        <w:t>FORM 8-K</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380" w:type="dxa"/>
            <w:vAlign w:val="bottom"/>
            <w:gridSpan w:val="2"/>
          </w:tcPr>
          <w:p>
            <w:pPr>
              <w:spacing w:after="0"/>
              <w:rPr>
                <w:sz w:val="20"/>
                <w:szCs w:val="20"/>
                <w:color w:val="auto"/>
              </w:rPr>
            </w:pPr>
            <w:r>
              <w:rPr>
                <w:rFonts w:ascii="Courier New" w:cs="Courier New" w:eastAsia="Courier New" w:hAnsi="Courier New"/>
                <w:sz w:val="18"/>
                <w:szCs w:val="18"/>
                <w:color w:val="auto"/>
              </w:rPr>
              <w:t>Item 7.  (a) Financial Statements of Business Acquired</w:t>
            </w:r>
          </w:p>
        </w:tc>
        <w:tc>
          <w:tcPr>
            <w:tcW w:w="90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Page</w:t>
            </w:r>
          </w:p>
        </w:tc>
      </w:tr>
      <w:tr>
        <w:trPr>
          <w:trHeight w:val="203"/>
        </w:trPr>
        <w:tc>
          <w:tcPr>
            <w:tcW w:w="154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Number</w:t>
            </w:r>
          </w:p>
        </w:tc>
      </w:tr>
      <w:tr>
        <w:trPr>
          <w:trHeight w:val="203"/>
        </w:trPr>
        <w:tc>
          <w:tcPr>
            <w:tcW w:w="6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Reports of Independent Accountants</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w:t>
            </w:r>
          </w:p>
        </w:tc>
      </w:tr>
      <w:tr>
        <w:trPr>
          <w:trHeight w:val="405"/>
        </w:trPr>
        <w:tc>
          <w:tcPr>
            <w:tcW w:w="1540" w:type="dxa"/>
            <w:vAlign w:val="bottom"/>
          </w:tcPr>
          <w:p>
            <w:pPr>
              <w:ind w:left="640"/>
              <w:spacing w:after="0"/>
              <w:rPr>
                <w:sz w:val="20"/>
                <w:szCs w:val="20"/>
                <w:color w:val="auto"/>
              </w:rPr>
            </w:pPr>
            <w:r>
              <w:rPr>
                <w:rFonts w:ascii="Courier New" w:cs="Courier New" w:eastAsia="Courier New" w:hAnsi="Courier New"/>
                <w:sz w:val="18"/>
                <w:szCs w:val="18"/>
                <w:color w:val="auto"/>
              </w:rPr>
              <w:t>Combined</w:t>
            </w:r>
          </w:p>
        </w:tc>
        <w:tc>
          <w:tcPr>
            <w:tcW w:w="4840" w:type="dxa"/>
            <w:vAlign w:val="bottom"/>
          </w:tcPr>
          <w:p>
            <w:pPr>
              <w:ind w:left="40"/>
              <w:spacing w:after="0"/>
              <w:rPr>
                <w:sz w:val="20"/>
                <w:szCs w:val="20"/>
                <w:color w:val="auto"/>
              </w:rPr>
            </w:pPr>
            <w:r>
              <w:rPr>
                <w:rFonts w:ascii="Courier New" w:cs="Courier New" w:eastAsia="Courier New" w:hAnsi="Courier New"/>
                <w:sz w:val="18"/>
                <w:szCs w:val="18"/>
                <w:color w:val="auto"/>
              </w:rPr>
              <w:t>Balance Sheets at December 31, 1993 and 1992</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6-7</w:t>
            </w:r>
          </w:p>
        </w:tc>
      </w:tr>
      <w:tr>
        <w:trPr>
          <w:trHeight w:val="405"/>
        </w:trPr>
        <w:tc>
          <w:tcPr>
            <w:tcW w:w="1540" w:type="dxa"/>
            <w:vAlign w:val="bottom"/>
          </w:tcPr>
          <w:p>
            <w:pPr>
              <w:ind w:left="640"/>
              <w:spacing w:after="0"/>
              <w:rPr>
                <w:sz w:val="20"/>
                <w:szCs w:val="20"/>
                <w:color w:val="auto"/>
              </w:rPr>
            </w:pPr>
            <w:r>
              <w:rPr>
                <w:rFonts w:ascii="Courier New" w:cs="Courier New" w:eastAsia="Courier New" w:hAnsi="Courier New"/>
                <w:sz w:val="18"/>
                <w:szCs w:val="18"/>
                <w:color w:val="auto"/>
              </w:rPr>
              <w:t>Combined</w:t>
            </w:r>
          </w:p>
        </w:tc>
        <w:tc>
          <w:tcPr>
            <w:tcW w:w="4840" w:type="dxa"/>
            <w:vAlign w:val="bottom"/>
          </w:tcPr>
          <w:p>
            <w:pPr>
              <w:ind w:left="40"/>
              <w:spacing w:after="0"/>
              <w:rPr>
                <w:sz w:val="20"/>
                <w:szCs w:val="20"/>
                <w:color w:val="auto"/>
              </w:rPr>
            </w:pPr>
            <w:r>
              <w:rPr>
                <w:rFonts w:ascii="Courier New" w:cs="Courier New" w:eastAsia="Courier New" w:hAnsi="Courier New"/>
                <w:sz w:val="18"/>
                <w:szCs w:val="18"/>
                <w:color w:val="auto"/>
              </w:rPr>
              <w:t>Statements of Income and Retained Earnings</w:t>
            </w:r>
          </w:p>
        </w:tc>
        <w:tc>
          <w:tcPr>
            <w:tcW w:w="900" w:type="dxa"/>
            <w:vAlign w:val="bottom"/>
          </w:tcPr>
          <w:p>
            <w:pPr>
              <w:spacing w:after="0"/>
              <w:rPr>
                <w:sz w:val="24"/>
                <w:szCs w:val="24"/>
                <w:color w:val="auto"/>
              </w:rPr>
            </w:pPr>
          </w:p>
        </w:tc>
      </w:tr>
      <w:tr>
        <w:trPr>
          <w:trHeight w:val="203"/>
        </w:trPr>
        <w:tc>
          <w:tcPr>
            <w:tcW w:w="6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for the three years ended December 31, 1993</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r>
      <w:tr>
        <w:trPr>
          <w:trHeight w:val="405"/>
        </w:trPr>
        <w:tc>
          <w:tcPr>
            <w:tcW w:w="1540" w:type="dxa"/>
            <w:vAlign w:val="bottom"/>
          </w:tcPr>
          <w:p>
            <w:pPr>
              <w:ind w:left="640"/>
              <w:spacing w:after="0"/>
              <w:rPr>
                <w:sz w:val="20"/>
                <w:szCs w:val="20"/>
                <w:color w:val="auto"/>
              </w:rPr>
            </w:pPr>
            <w:r>
              <w:rPr>
                <w:rFonts w:ascii="Courier New" w:cs="Courier New" w:eastAsia="Courier New" w:hAnsi="Courier New"/>
                <w:sz w:val="18"/>
                <w:szCs w:val="18"/>
                <w:color w:val="auto"/>
              </w:rPr>
              <w:t>Combined</w:t>
            </w:r>
          </w:p>
        </w:tc>
        <w:tc>
          <w:tcPr>
            <w:tcW w:w="4840" w:type="dxa"/>
            <w:vAlign w:val="bottom"/>
          </w:tcPr>
          <w:p>
            <w:pPr>
              <w:ind w:left="40"/>
              <w:spacing w:after="0"/>
              <w:rPr>
                <w:sz w:val="20"/>
                <w:szCs w:val="20"/>
                <w:color w:val="auto"/>
              </w:rPr>
            </w:pPr>
            <w:r>
              <w:rPr>
                <w:rFonts w:ascii="Courier New" w:cs="Courier New" w:eastAsia="Courier New" w:hAnsi="Courier New"/>
                <w:sz w:val="18"/>
                <w:szCs w:val="18"/>
                <w:color w:val="auto"/>
              </w:rPr>
              <w:t>Statements of Cash Flows for the three</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9-10</w:t>
            </w:r>
          </w:p>
        </w:tc>
      </w:tr>
      <w:tr>
        <w:trPr>
          <w:trHeight w:val="203"/>
        </w:trPr>
        <w:tc>
          <w:tcPr>
            <w:tcW w:w="6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years ended December 31, 1993</w:t>
            </w:r>
          </w:p>
        </w:tc>
        <w:tc>
          <w:tcPr>
            <w:tcW w:w="900" w:type="dxa"/>
            <w:vAlign w:val="bottom"/>
          </w:tcPr>
          <w:p>
            <w:pPr>
              <w:spacing w:after="0"/>
              <w:rPr>
                <w:sz w:val="17"/>
                <w:szCs w:val="17"/>
                <w:color w:val="auto"/>
              </w:rPr>
            </w:pPr>
          </w:p>
        </w:tc>
      </w:tr>
      <w:tr>
        <w:trPr>
          <w:trHeight w:val="405"/>
        </w:trPr>
        <w:tc>
          <w:tcPr>
            <w:tcW w:w="1540" w:type="dxa"/>
            <w:vAlign w:val="bottom"/>
          </w:tcPr>
          <w:p>
            <w:pPr>
              <w:ind w:left="640"/>
              <w:spacing w:after="0"/>
              <w:rPr>
                <w:sz w:val="20"/>
                <w:szCs w:val="20"/>
                <w:color w:val="auto"/>
              </w:rPr>
            </w:pPr>
            <w:r>
              <w:rPr>
                <w:rFonts w:ascii="Courier New" w:cs="Courier New" w:eastAsia="Courier New" w:hAnsi="Courier New"/>
                <w:sz w:val="18"/>
                <w:szCs w:val="18"/>
                <w:color w:val="auto"/>
              </w:rPr>
              <w:t>Notes to</w:t>
            </w:r>
          </w:p>
        </w:tc>
        <w:tc>
          <w:tcPr>
            <w:tcW w:w="4840" w:type="dxa"/>
            <w:vAlign w:val="bottom"/>
          </w:tcPr>
          <w:p>
            <w:pPr>
              <w:ind w:left="40"/>
              <w:spacing w:after="0"/>
              <w:rPr>
                <w:sz w:val="20"/>
                <w:szCs w:val="20"/>
                <w:color w:val="auto"/>
              </w:rPr>
            </w:pPr>
            <w:r>
              <w:rPr>
                <w:rFonts w:ascii="Courier New" w:cs="Courier New" w:eastAsia="Courier New" w:hAnsi="Courier New"/>
                <w:sz w:val="18"/>
                <w:szCs w:val="18"/>
                <w:color w:val="auto"/>
              </w:rPr>
              <w:t>Combined Financial Statements</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11-28</w:t>
            </w:r>
          </w:p>
        </w:tc>
      </w:tr>
      <w:tr>
        <w:trPr>
          <w:trHeight w:val="405"/>
        </w:trPr>
        <w:tc>
          <w:tcPr>
            <w:tcW w:w="1540" w:type="dxa"/>
            <w:vAlign w:val="bottom"/>
          </w:tcPr>
          <w:p>
            <w:pPr>
              <w:ind w:left="540"/>
              <w:spacing w:after="0"/>
              <w:rPr>
                <w:sz w:val="20"/>
                <w:szCs w:val="20"/>
                <w:color w:val="auto"/>
              </w:rPr>
            </w:pPr>
            <w:r>
              <w:rPr>
                <w:rFonts w:ascii="Courier New" w:cs="Courier New" w:eastAsia="Courier New" w:hAnsi="Courier New"/>
                <w:sz w:val="18"/>
                <w:szCs w:val="18"/>
                <w:color w:val="auto"/>
              </w:rPr>
              <w:t>Financial</w:t>
            </w:r>
          </w:p>
        </w:tc>
        <w:tc>
          <w:tcPr>
            <w:tcW w:w="4840" w:type="dxa"/>
            <w:vAlign w:val="bottom"/>
          </w:tcPr>
          <w:p>
            <w:pPr>
              <w:ind w:left="40"/>
              <w:spacing w:after="0"/>
              <w:rPr>
                <w:sz w:val="20"/>
                <w:szCs w:val="20"/>
                <w:color w:val="auto"/>
              </w:rPr>
            </w:pPr>
            <w:r>
              <w:rPr>
                <w:rFonts w:ascii="Courier New" w:cs="Courier New" w:eastAsia="Courier New" w:hAnsi="Courier New"/>
                <w:sz w:val="18"/>
                <w:szCs w:val="18"/>
                <w:color w:val="auto"/>
              </w:rPr>
              <w:t>Statement Schedules</w:t>
            </w:r>
          </w:p>
        </w:tc>
        <w:tc>
          <w:tcPr>
            <w:tcW w:w="900" w:type="dxa"/>
            <w:vAlign w:val="bottom"/>
          </w:tcPr>
          <w:p>
            <w:pPr>
              <w:spacing w:after="0"/>
              <w:rPr>
                <w:sz w:val="24"/>
                <w:szCs w:val="24"/>
                <w:color w:val="auto"/>
              </w:rPr>
            </w:pPr>
          </w:p>
        </w:tc>
      </w:tr>
      <w:tr>
        <w:trPr>
          <w:trHeight w:val="405"/>
        </w:trPr>
        <w:tc>
          <w:tcPr>
            <w:tcW w:w="63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V - Property, Plant and Equipment</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29</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VI - Accumulated Depreciation</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30</w:t>
            </w:r>
          </w:p>
        </w:tc>
      </w:tr>
    </w:tbl>
    <w:p>
      <w:pPr>
        <w:spacing w:after="0" w:line="207" w:lineRule="exact"/>
        <w:rPr>
          <w:sz w:val="20"/>
          <w:szCs w:val="20"/>
          <w:color w:val="auto"/>
        </w:rPr>
      </w:pPr>
    </w:p>
    <w:p>
      <w:pPr>
        <w:ind w:left="420" w:right="3259"/>
        <w:spacing w:after="0" w:line="236" w:lineRule="auto"/>
        <w:rPr>
          <w:sz w:val="20"/>
          <w:szCs w:val="20"/>
          <w:color w:val="auto"/>
        </w:rPr>
      </w:pPr>
      <w:r>
        <w:rPr>
          <w:rFonts w:ascii="Courier New" w:cs="Courier New" w:eastAsia="Courier New" w:hAnsi="Courier New"/>
          <w:sz w:val="18"/>
          <w:szCs w:val="18"/>
          <w:color w:val="auto"/>
        </w:rPr>
        <w:t>Interim financial statements for the Company are included in Form 10-Q for the three months ended March 31, 1994 and are hereby incorporated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Pro Forma Financial Information</w:t>
      </w:r>
    </w:p>
    <w:p>
      <w:pPr>
        <w:spacing w:after="0" w:line="207" w:lineRule="exact"/>
        <w:rPr>
          <w:sz w:val="20"/>
          <w:szCs w:val="20"/>
          <w:color w:val="auto"/>
        </w:rPr>
      </w:pPr>
    </w:p>
    <w:p>
      <w:pPr>
        <w:ind w:left="320" w:right="4099"/>
        <w:spacing w:after="0" w:line="236" w:lineRule="auto"/>
        <w:rPr>
          <w:sz w:val="20"/>
          <w:szCs w:val="20"/>
          <w:color w:val="auto"/>
        </w:rPr>
      </w:pPr>
      <w:r>
        <w:rPr>
          <w:rFonts w:ascii="Courier New" w:cs="Courier New" w:eastAsia="Courier New" w:hAnsi="Courier New"/>
          <w:sz w:val="18"/>
          <w:szCs w:val="18"/>
          <w:color w:val="auto"/>
        </w:rPr>
        <w:t>The Pro Forma financial information required by this Item is included in Note 13 to the Combined Financial Statements filed under Item 7 (a) above.</w:t>
      </w:r>
    </w:p>
    <w:p>
      <w:pPr>
        <w:spacing w:after="0" w:line="209" w:lineRule="exact"/>
        <w:rPr>
          <w:sz w:val="20"/>
          <w:szCs w:val="20"/>
          <w:color w:val="auto"/>
        </w:rPr>
      </w:pPr>
    </w:p>
    <w:p>
      <w:pPr>
        <w:ind w:left="320" w:right="3039"/>
        <w:spacing w:after="0" w:line="236" w:lineRule="auto"/>
        <w:rPr>
          <w:sz w:val="20"/>
          <w:szCs w:val="20"/>
          <w:color w:val="auto"/>
        </w:rPr>
      </w:pPr>
      <w:r>
        <w:rPr>
          <w:rFonts w:ascii="Courier New" w:cs="Courier New" w:eastAsia="Courier New" w:hAnsi="Courier New"/>
          <w:sz w:val="18"/>
          <w:szCs w:val="18"/>
          <w:color w:val="auto"/>
        </w:rPr>
        <w:t>Pro forma interim financial information for the Company is included in Form 10-Q for the three months ended March 31, 1994 and are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8"/>
          <w:szCs w:val="18"/>
          <w:color w:val="auto"/>
        </w:rPr>
        <w:t>Page 2 of 31</w:t>
      </w:r>
    </w:p>
    <w:p>
      <w:pPr>
        <w:sectPr>
          <w:pgSz w:w="11900" w:h="16838" w:orient="portrait"/>
          <w:cols w:equalWidth="0" w:num="1">
            <w:col w:w="9999"/>
          </w:cols>
          <w:pgMar w:left="460" w:top="33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Boards of Directors and</w:t>
      </w:r>
    </w:p>
    <w:p>
      <w:pPr>
        <w:spacing w:after="0" w:line="238" w:lineRule="auto"/>
        <w:rPr>
          <w:sz w:val="20"/>
          <w:szCs w:val="20"/>
          <w:color w:val="auto"/>
        </w:rPr>
      </w:pPr>
      <w:r>
        <w:rPr>
          <w:rFonts w:ascii="Courier New" w:cs="Courier New" w:eastAsia="Courier New" w:hAnsi="Courier New"/>
          <w:sz w:val="18"/>
          <w:szCs w:val="18"/>
          <w:color w:val="auto"/>
        </w:rPr>
        <w:t>Shareholders of Church &amp; Tower Group</w:t>
      </w:r>
    </w:p>
    <w:p>
      <w:pPr>
        <w:spacing w:after="0" w:line="200" w:lineRule="exact"/>
        <w:rPr>
          <w:sz w:val="20"/>
          <w:szCs w:val="20"/>
          <w:color w:val="auto"/>
        </w:rPr>
      </w:pPr>
    </w:p>
    <w:p>
      <w:pPr>
        <w:spacing w:after="0" w:line="210"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In our opinion, the combined financial statements listed in the accompanying index present fairly, in all material respects, the financial position of the Church &amp; Tower Group at December 31, 1993, and the results of their operations and their cash flows for the year in conformity with generally accepted accounting principles. These financial statements are the responsibility of the Group's management; our responsibility is to express an opinion on these financial statements based on our audit. We conducted our audit of these statements in accordance with generally accepted auditing standards</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the opinion expressed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WATERHOUSE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Miami, Florida</w:t>
      </w:r>
    </w:p>
    <w:p>
      <w:pPr>
        <w:spacing w:after="0" w:line="238" w:lineRule="auto"/>
        <w:rPr>
          <w:sz w:val="20"/>
          <w:szCs w:val="20"/>
          <w:color w:val="auto"/>
        </w:rPr>
      </w:pPr>
      <w:r>
        <w:rPr>
          <w:rFonts w:ascii="Courier New" w:cs="Courier New" w:eastAsia="Courier New" w:hAnsi="Courier New"/>
          <w:sz w:val="18"/>
          <w:szCs w:val="18"/>
          <w:color w:val="auto"/>
        </w:rPr>
        <w:t>April 22,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Page 3 of 31</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Report of Predecessor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Boards of Directors and</w:t>
      </w:r>
    </w:p>
    <w:p>
      <w:pPr>
        <w:spacing w:after="0" w:line="238" w:lineRule="auto"/>
        <w:rPr>
          <w:sz w:val="20"/>
          <w:szCs w:val="20"/>
          <w:color w:val="auto"/>
        </w:rPr>
      </w:pPr>
      <w:r>
        <w:rPr>
          <w:rFonts w:ascii="Courier New" w:cs="Courier New" w:eastAsia="Courier New" w:hAnsi="Courier New"/>
          <w:sz w:val="18"/>
          <w:szCs w:val="18"/>
          <w:color w:val="auto"/>
        </w:rPr>
        <w:t>Shareholders of Church &amp; Tower Group</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have audited the combined financial statements of the Church &amp; Tower Group listed in the accompanying index as of December 31, 1992 and for each of the two years then ended. These financial statements are the responsibility of the Group's management. Our responsibility is to express an opinion on these financial statements based on our audits.</w:t>
      </w:r>
    </w:p>
    <w:p>
      <w:pPr>
        <w:spacing w:after="0" w:line="209"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We did not audit the financial statements of 9001 Joint Venture, a joint venture that is majority-owned by a company in the Group, for the years ended December 31, 1992 and 1991. These statements reflect total assets of $3,064,573 as of December 31, 1992 and total revenues of $14,495,378 and $8,240,290 for each of the two years ended December 31, 1992, respectively. Those statements were audited by other auditors whose report has been furnished to us, and our opinion, insofar as it relates to the amounts included for 9001 Joint Venture, is based solely on the reports of other auditors.</w:t>
      </w:r>
    </w:p>
    <w:p>
      <w:pPr>
        <w:spacing w:after="0" w:line="3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other auditors provide a reasonable basis for our opinion.</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our opinion, based upon our audits and the report of other auditors, the combined financial statements referred to above present fairly, in all material respects, the financial position of the Church &amp; Tower Group as of December 31, 1992 and the results of their operations and their cash flows for each of the two years ended December 31, 1992 in conformity with generally accepted accounting principles.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VICIANA AND SHAFER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Coral Gables, Florida</w:t>
      </w:r>
    </w:p>
    <w:p>
      <w:pPr>
        <w:spacing w:after="0" w:line="238" w:lineRule="auto"/>
        <w:rPr>
          <w:sz w:val="20"/>
          <w:szCs w:val="20"/>
          <w:color w:val="auto"/>
        </w:rPr>
      </w:pPr>
      <w:r>
        <w:rPr>
          <w:rFonts w:ascii="Courier New" w:cs="Courier New" w:eastAsia="Courier New" w:hAnsi="Courier New"/>
          <w:sz w:val="18"/>
          <w:szCs w:val="18"/>
          <w:color w:val="auto"/>
        </w:rPr>
        <w:t>June 15,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Page 4 of 31</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partners of</w:t>
      </w:r>
    </w:p>
    <w:p>
      <w:pPr>
        <w:spacing w:after="0" w:line="238" w:lineRule="auto"/>
        <w:rPr>
          <w:sz w:val="20"/>
          <w:szCs w:val="20"/>
          <w:color w:val="auto"/>
        </w:rPr>
      </w:pPr>
      <w:r>
        <w:rPr>
          <w:rFonts w:ascii="Courier New" w:cs="Courier New" w:eastAsia="Courier New" w:hAnsi="Courier New"/>
          <w:sz w:val="18"/>
          <w:szCs w:val="18"/>
          <w:color w:val="auto"/>
        </w:rPr>
        <w:t>9001 Joint Venture</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We have audited the balance sheet of 9001 Joint Venture as of December 31, 1992 and the related statements of earnings, partners' capital, and cash</w:t>
      </w:r>
    </w:p>
    <w:p>
      <w:pPr>
        <w:spacing w:after="0" w:line="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flows for each of the two years then ended. These financial statements are the responsibility of the company's management. Our responsibility is to express an opinion on these financial statements based on our audit.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conducted our audit in accordance with generally accepted auditing standards. Those standards require that we plan and perform the audit to obtain reasonable assurance about whether the financial statements are free of material misstatements.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financial position of 9001 Joint Venture as of December 31, 1992 and the results of its operations and its cash flows for each of the two years then ended in conformity with generally accepted accounting principles.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 ALVAREZ &amp;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Miami, Florida</w:t>
      </w:r>
    </w:p>
    <w:p>
      <w:pPr>
        <w:spacing w:after="0" w:line="238" w:lineRule="auto"/>
        <w:rPr>
          <w:sz w:val="20"/>
          <w:szCs w:val="20"/>
          <w:color w:val="auto"/>
        </w:rPr>
      </w:pPr>
      <w:r>
        <w:rPr>
          <w:rFonts w:ascii="Courier New" w:cs="Courier New" w:eastAsia="Courier New" w:hAnsi="Courier New"/>
          <w:sz w:val="18"/>
          <w:szCs w:val="18"/>
          <w:color w:val="auto"/>
        </w:rPr>
        <w:t>March 15,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Page 5 of 31</w:t>
      </w:r>
    </w:p>
    <w:p>
      <w:pPr>
        <w:sectPr>
          <w:pgSz w:w="11900" w:h="16838" w:orient="portrait"/>
          <w:cols w:equalWidth="0" w:num="1">
            <w:col w:w="10219"/>
          </w:cols>
          <w:pgMar w:left="240" w:top="91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COMBINED BALANCE SHEETS</w:t>
      </w:r>
    </w:p>
    <w:p>
      <w:pPr>
        <w:spacing w:after="0"/>
        <w:rPr>
          <w:sz w:val="20"/>
          <w:szCs w:val="20"/>
          <w:color w:val="auto"/>
        </w:rPr>
      </w:pPr>
      <w:r>
        <w:rPr>
          <w:rFonts w:ascii="Courier New" w:cs="Courier New" w:eastAsia="Courier New" w:hAnsi="Courier New"/>
          <w:sz w:val="18"/>
          <w:szCs w:val="18"/>
          <w:color w:val="auto"/>
        </w:rPr>
        <w:t>December 31, 1993 and 1992</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360" w:type="dxa"/>
            <w:vAlign w:val="bottom"/>
          </w:tcPr>
          <w:p>
            <w:pPr>
              <w:spacing w:after="0"/>
              <w:rPr>
                <w:sz w:val="17"/>
                <w:szCs w:val="17"/>
                <w:color w:val="auto"/>
              </w:rPr>
            </w:pPr>
          </w:p>
        </w:tc>
        <w:tc>
          <w:tcPr>
            <w:tcW w:w="16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1993</w:t>
            </w:r>
          </w:p>
        </w:tc>
        <w:tc>
          <w:tcPr>
            <w:tcW w:w="1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Cash and cash equivalents</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8,929,967</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$ 10,190,412</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 of allowance</w:t>
            </w:r>
          </w:p>
        </w:tc>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 doubtful accounts of $250,000</w:t>
            </w:r>
          </w:p>
        </w:tc>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1993</w:t>
            </w:r>
          </w:p>
        </w:tc>
        <w:tc>
          <w:tcPr>
            <w:tcW w:w="3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6,350,434</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6,738,906</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Contract receivables</w:t>
            </w:r>
          </w:p>
        </w:tc>
        <w:tc>
          <w:tcPr>
            <w:tcW w:w="3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400,000</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2,542,833</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3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186,234</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129,558</w:t>
            </w:r>
          </w:p>
        </w:tc>
      </w:tr>
      <w:tr>
        <w:trPr>
          <w:trHeight w:val="203"/>
        </w:trPr>
        <w:tc>
          <w:tcPr>
            <w:tcW w:w="428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3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15,866,635</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19,646,709</w:t>
            </w:r>
          </w:p>
        </w:tc>
      </w:tr>
      <w:tr>
        <w:trPr>
          <w:trHeight w:val="203"/>
        </w:trPr>
        <w:tc>
          <w:tcPr>
            <w:tcW w:w="428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Investment in unconsolidated joint</w:t>
            </w: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ventures</w:t>
            </w:r>
          </w:p>
        </w:tc>
        <w:tc>
          <w:tcPr>
            <w:tcW w:w="3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152,725</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428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Property and equipment, net</w:t>
            </w:r>
          </w:p>
        </w:tc>
        <w:tc>
          <w:tcPr>
            <w:tcW w:w="360" w:type="dxa"/>
            <w:vAlign w:val="bottom"/>
          </w:tcPr>
          <w:p>
            <w:pPr>
              <w:spacing w:after="0"/>
              <w:rPr>
                <w:sz w:val="24"/>
                <w:szCs w:val="24"/>
                <w:color w:val="auto"/>
              </w:rPr>
            </w:pPr>
          </w:p>
        </w:tc>
        <w:tc>
          <w:tcPr>
            <w:tcW w:w="16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4,632,321</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3,655,855</w:t>
            </w:r>
          </w:p>
        </w:tc>
      </w:tr>
      <w:tr>
        <w:trPr>
          <w:trHeight w:val="203"/>
        </w:trPr>
        <w:tc>
          <w:tcPr>
            <w:tcW w:w="428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Other assets</w:t>
            </w:r>
          </w:p>
        </w:tc>
        <w:tc>
          <w:tcPr>
            <w:tcW w:w="360" w:type="dxa"/>
            <w:vAlign w:val="bottom"/>
          </w:tcPr>
          <w:p>
            <w:pPr>
              <w:spacing w:after="0"/>
              <w:rPr>
                <w:sz w:val="24"/>
                <w:szCs w:val="24"/>
                <w:color w:val="auto"/>
              </w:rPr>
            </w:pPr>
          </w:p>
        </w:tc>
        <w:tc>
          <w:tcPr>
            <w:tcW w:w="16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673,122</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135,142</w:t>
            </w:r>
          </w:p>
        </w:tc>
      </w:tr>
      <w:tr>
        <w:trPr>
          <w:trHeight w:val="203"/>
        </w:trPr>
        <w:tc>
          <w:tcPr>
            <w:tcW w:w="428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Total assets</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6"/>
              </w:rPr>
              <w:t>21,324,803</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$ 23,442,706</w:t>
            </w:r>
          </w:p>
        </w:tc>
      </w:tr>
      <w:tr>
        <w:trPr>
          <w:trHeight w:val="203"/>
        </w:trPr>
        <w:tc>
          <w:tcPr>
            <w:tcW w:w="428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Page 6 of 31</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COMBINED BALANCE SHEET</w:t>
      </w:r>
    </w:p>
    <w:p>
      <w:pPr>
        <w:spacing w:after="0"/>
        <w:rPr>
          <w:sz w:val="20"/>
          <w:szCs w:val="20"/>
          <w:color w:val="auto"/>
        </w:rPr>
      </w:pPr>
      <w:r>
        <w:rPr>
          <w:rFonts w:ascii="Courier New" w:cs="Courier New" w:eastAsia="Courier New" w:hAnsi="Courier New"/>
          <w:sz w:val="18"/>
          <w:szCs w:val="18"/>
          <w:color w:val="auto"/>
        </w:rPr>
        <w:t>December 31, 1993 and 1992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20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1993</w:t>
            </w:r>
          </w:p>
        </w:tc>
        <w:tc>
          <w:tcPr>
            <w:tcW w:w="1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0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Accounts payable and accrued expenses</w:t>
            </w:r>
          </w:p>
        </w:tc>
        <w:tc>
          <w:tcPr>
            <w:tcW w:w="2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  3,323,865</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4,291,580</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Billings in excess of costs and</w:t>
            </w:r>
          </w:p>
        </w:tc>
        <w:tc>
          <w:tcPr>
            <w:tcW w:w="20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estimated earnings on uncompleted</w:t>
            </w:r>
          </w:p>
        </w:tc>
        <w:tc>
          <w:tcPr>
            <w:tcW w:w="20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contracts</w:t>
            </w:r>
          </w:p>
        </w:tc>
        <w:tc>
          <w:tcPr>
            <w:tcW w:w="20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1,527,012</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Current maturities of long-term notes</w:t>
            </w:r>
          </w:p>
        </w:tc>
        <w:tc>
          <w:tcPr>
            <w:tcW w:w="20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payable</w:t>
            </w:r>
          </w:p>
        </w:tc>
        <w:tc>
          <w:tcPr>
            <w:tcW w:w="2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508,364</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691,667</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notes payable to</w:t>
            </w:r>
          </w:p>
        </w:tc>
        <w:tc>
          <w:tcPr>
            <w:tcW w:w="20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shareholders</w:t>
            </w:r>
          </w:p>
        </w:tc>
        <w:tc>
          <w:tcPr>
            <w:tcW w:w="2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500,000</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2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2,442,911</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153,267</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Deficit in unconsolidated joint</w:t>
            </w:r>
          </w:p>
        </w:tc>
        <w:tc>
          <w:tcPr>
            <w:tcW w:w="20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venture's capital account</w:t>
            </w: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215,772</w:t>
            </w:r>
          </w:p>
        </w:tc>
      </w:tr>
      <w:tr>
        <w:trPr>
          <w:trHeight w:val="203"/>
        </w:trPr>
        <w:tc>
          <w:tcPr>
            <w:tcW w:w="4220" w:type="dxa"/>
            <w:vAlign w:val="bottom"/>
          </w:tcPr>
          <w:p>
            <w:pPr>
              <w:spacing w:after="0"/>
              <w:rPr>
                <w:sz w:val="17"/>
                <w:szCs w:val="17"/>
                <w:color w:val="auto"/>
              </w:rPr>
            </w:pP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ind w:left="220"/>
              <w:spacing w:after="0"/>
              <w:rPr>
                <w:sz w:val="20"/>
                <w:szCs w:val="20"/>
                <w:color w:val="auto"/>
              </w:rPr>
            </w:pPr>
            <w:r>
              <w:rPr>
                <w:rFonts w:ascii="Courier New" w:cs="Courier New" w:eastAsia="Courier New" w:hAnsi="Courier New"/>
                <w:sz w:val="18"/>
                <w:szCs w:val="18"/>
                <w:color w:val="auto"/>
              </w:rPr>
              <w:t>Total current liabilities</w:t>
            </w:r>
          </w:p>
        </w:tc>
        <w:tc>
          <w:tcPr>
            <w:tcW w:w="20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6,775,140</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6,879,298</w:t>
            </w:r>
          </w:p>
        </w:tc>
      </w:tr>
      <w:tr>
        <w:trPr>
          <w:trHeight w:val="608"/>
        </w:trPr>
        <w:tc>
          <w:tcPr>
            <w:tcW w:w="4220" w:type="dxa"/>
            <w:vAlign w:val="bottom"/>
          </w:tcPr>
          <w:p>
            <w:pPr>
              <w:ind w:left="220"/>
              <w:spacing w:after="0"/>
              <w:rPr>
                <w:sz w:val="20"/>
                <w:szCs w:val="20"/>
                <w:color w:val="auto"/>
              </w:rPr>
            </w:pPr>
            <w:r>
              <w:rPr>
                <w:rFonts w:ascii="Courier New" w:cs="Courier New" w:eastAsia="Courier New" w:hAnsi="Courier New"/>
                <w:sz w:val="18"/>
                <w:szCs w:val="18"/>
                <w:color w:val="auto"/>
              </w:rPr>
              <w:t>Notes payable</w:t>
            </w:r>
          </w:p>
        </w:tc>
        <w:tc>
          <w:tcPr>
            <w:tcW w:w="20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1,079,201</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855,219</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payable to shareholders</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2,500,000</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rPr>
                <w:sz w:val="17"/>
                <w:szCs w:val="17"/>
                <w:color w:val="auto"/>
              </w:rPr>
            </w:pP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ind w:left="220"/>
              <w:spacing w:after="0"/>
              <w:rPr>
                <w:sz w:val="20"/>
                <w:szCs w:val="20"/>
                <w:color w:val="auto"/>
              </w:rPr>
            </w:pPr>
            <w:r>
              <w:rPr>
                <w:rFonts w:ascii="Courier New" w:cs="Courier New" w:eastAsia="Courier New" w:hAnsi="Courier New"/>
                <w:sz w:val="18"/>
                <w:szCs w:val="18"/>
                <w:color w:val="auto"/>
              </w:rPr>
              <w:t>Total  liabilities</w:t>
            </w:r>
          </w:p>
        </w:tc>
        <w:tc>
          <w:tcPr>
            <w:tcW w:w="20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10,354,341</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7,734,517</w:t>
            </w:r>
          </w:p>
        </w:tc>
      </w:tr>
      <w:tr>
        <w:trPr>
          <w:trHeight w:val="203"/>
        </w:trPr>
        <w:tc>
          <w:tcPr>
            <w:tcW w:w="4220" w:type="dxa"/>
            <w:vAlign w:val="bottom"/>
          </w:tcPr>
          <w:p>
            <w:pPr>
              <w:spacing w:after="0"/>
              <w:rPr>
                <w:sz w:val="17"/>
                <w:szCs w:val="17"/>
                <w:color w:val="auto"/>
              </w:rPr>
            </w:pP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rPr>
                <w:sz w:val="17"/>
                <w:szCs w:val="17"/>
                <w:color w:val="auto"/>
              </w:rPr>
            </w:pP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ind w:left="220"/>
              <w:spacing w:after="0"/>
              <w:rPr>
                <w:sz w:val="20"/>
                <w:szCs w:val="20"/>
                <w:color w:val="auto"/>
              </w:rPr>
            </w:pPr>
            <w:r>
              <w:rPr>
                <w:rFonts w:ascii="Courier New" w:cs="Courier New" w:eastAsia="Courier New" w:hAnsi="Courier New"/>
                <w:sz w:val="18"/>
                <w:szCs w:val="18"/>
                <w:color w:val="auto"/>
              </w:rPr>
              <w:t>Minority interest in consolidated</w:t>
            </w:r>
          </w:p>
        </w:tc>
        <w:tc>
          <w:tcPr>
            <w:tcW w:w="20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4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joint venture</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28,197</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17,751</w:t>
            </w:r>
          </w:p>
        </w:tc>
      </w:tr>
      <w:tr>
        <w:trPr>
          <w:trHeight w:val="203"/>
        </w:trPr>
        <w:tc>
          <w:tcPr>
            <w:tcW w:w="4220" w:type="dxa"/>
            <w:vAlign w:val="bottom"/>
          </w:tcPr>
          <w:p>
            <w:pPr>
              <w:spacing w:after="0"/>
              <w:rPr>
                <w:sz w:val="17"/>
                <w:szCs w:val="17"/>
                <w:color w:val="auto"/>
              </w:rPr>
            </w:pP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ind w:left="220"/>
              <w:spacing w:after="0"/>
              <w:rPr>
                <w:sz w:val="20"/>
                <w:szCs w:val="20"/>
                <w:color w:val="auto"/>
              </w:rPr>
            </w:pPr>
            <w:r>
              <w:rPr>
                <w:rFonts w:ascii="Courier New" w:cs="Courier New" w:eastAsia="Courier New" w:hAnsi="Courier New"/>
                <w:sz w:val="18"/>
                <w:szCs w:val="18"/>
                <w:color w:val="auto"/>
              </w:rPr>
              <w:t>Shareholders' equity:</w:t>
            </w:r>
          </w:p>
        </w:tc>
        <w:tc>
          <w:tcPr>
            <w:tcW w:w="20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1,025,000</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1,025,000</w:t>
            </w: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9,917,265</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14,665,438</w:t>
            </w:r>
          </w:p>
        </w:tc>
      </w:tr>
      <w:tr>
        <w:trPr>
          <w:trHeight w:val="203"/>
        </w:trPr>
        <w:tc>
          <w:tcPr>
            <w:tcW w:w="4220" w:type="dxa"/>
            <w:vAlign w:val="bottom"/>
          </w:tcPr>
          <w:p>
            <w:pPr>
              <w:spacing w:after="0"/>
              <w:rPr>
                <w:sz w:val="17"/>
                <w:szCs w:val="17"/>
                <w:color w:val="auto"/>
              </w:rPr>
            </w:pP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ind w:left="220"/>
              <w:spacing w:after="0"/>
              <w:rPr>
                <w:sz w:val="20"/>
                <w:szCs w:val="20"/>
                <w:color w:val="auto"/>
              </w:rPr>
            </w:pPr>
            <w:r>
              <w:rPr>
                <w:rFonts w:ascii="Courier New" w:cs="Courier New" w:eastAsia="Courier New" w:hAnsi="Courier New"/>
                <w:sz w:val="18"/>
                <w:szCs w:val="18"/>
                <w:color w:val="auto"/>
              </w:rPr>
              <w:t>Total shareholders' equity</w:t>
            </w:r>
          </w:p>
        </w:tc>
        <w:tc>
          <w:tcPr>
            <w:tcW w:w="20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10,942,265</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15,690,438</w:t>
            </w:r>
          </w:p>
        </w:tc>
      </w:tr>
      <w:tr>
        <w:trPr>
          <w:trHeight w:val="203"/>
        </w:trPr>
        <w:tc>
          <w:tcPr>
            <w:tcW w:w="4220" w:type="dxa"/>
            <w:vAlign w:val="bottom"/>
          </w:tcPr>
          <w:p>
            <w:pPr>
              <w:spacing w:after="0"/>
              <w:rPr>
                <w:sz w:val="17"/>
                <w:szCs w:val="17"/>
                <w:color w:val="auto"/>
              </w:rPr>
            </w:pP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ind w:left="220"/>
              <w:spacing w:after="0"/>
              <w:rPr>
                <w:sz w:val="20"/>
                <w:szCs w:val="20"/>
                <w:color w:val="auto"/>
              </w:rPr>
            </w:pPr>
            <w:r>
              <w:rPr>
                <w:rFonts w:ascii="Courier New" w:cs="Courier New" w:eastAsia="Courier New" w:hAnsi="Courier New"/>
                <w:sz w:val="18"/>
                <w:szCs w:val="18"/>
                <w:color w:val="auto"/>
              </w:rPr>
              <w:t>Total liabilities and</w:t>
            </w:r>
          </w:p>
        </w:tc>
        <w:tc>
          <w:tcPr>
            <w:tcW w:w="20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4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$ 21,324,803</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$ 23,442,706</w:t>
            </w:r>
          </w:p>
        </w:tc>
      </w:tr>
      <w:tr>
        <w:trPr>
          <w:trHeight w:val="203"/>
        </w:trPr>
        <w:tc>
          <w:tcPr>
            <w:tcW w:w="4220" w:type="dxa"/>
            <w:vAlign w:val="bottom"/>
          </w:tcPr>
          <w:p>
            <w:pPr>
              <w:spacing w:after="0"/>
              <w:rPr>
                <w:sz w:val="17"/>
                <w:szCs w:val="17"/>
                <w:color w:val="auto"/>
              </w:rPr>
            </w:pP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combined financial statements.</w:t>
      </w:r>
    </w:p>
    <w:p>
      <w:pPr>
        <w:spacing w:after="0" w:line="200" w:lineRule="exact"/>
        <w:rPr>
          <w:sz w:val="20"/>
          <w:szCs w:val="20"/>
          <w:color w:val="auto"/>
        </w:rPr>
      </w:pPr>
    </w:p>
    <w:p>
      <w:pPr>
        <w:spacing w:after="0" w:line="205"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Page 7 of 31</w:t>
      </w:r>
    </w:p>
    <w:p>
      <w:pPr>
        <w:sectPr>
          <w:pgSz w:w="11900" w:h="16838" w:orient="portrait"/>
          <w:cols w:equalWidth="0" w:num="1">
            <w:col w:w="10219"/>
          </w:cols>
          <w:pgMar w:left="240" w:top="91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COMBINED STATEMENTS OF INCOME AND RETAINED EARNINGS</w:t>
      </w:r>
    </w:p>
    <w:p>
      <w:pPr>
        <w:spacing w:after="0"/>
        <w:rPr>
          <w:sz w:val="20"/>
          <w:szCs w:val="20"/>
          <w:color w:val="auto"/>
        </w:rPr>
      </w:pPr>
      <w:r>
        <w:rPr>
          <w:rFonts w:ascii="Courier New" w:cs="Courier New" w:eastAsia="Courier New" w:hAnsi="Courier New"/>
          <w:sz w:val="18"/>
          <w:szCs w:val="18"/>
          <w:color w:val="auto"/>
        </w:rPr>
        <w:t>Three Years Ended December 31, 1993</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1993</w:t>
            </w:r>
          </w:p>
        </w:tc>
        <w:tc>
          <w:tcPr>
            <w:tcW w:w="260" w:type="dxa"/>
            <w:vAlign w:val="bottom"/>
          </w:tcPr>
          <w:p>
            <w:pPr>
              <w:spacing w:after="0"/>
              <w:rPr>
                <w:sz w:val="17"/>
                <w:szCs w:val="17"/>
                <w:color w:val="auto"/>
              </w:rPr>
            </w:pP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1992</w:t>
            </w:r>
          </w:p>
        </w:tc>
        <w:tc>
          <w:tcPr>
            <w:tcW w:w="260" w:type="dxa"/>
            <w:vAlign w:val="bottom"/>
          </w:tcPr>
          <w:p>
            <w:pPr>
              <w:spacing w:after="0"/>
              <w:rPr>
                <w:sz w:val="17"/>
                <w:szCs w:val="17"/>
                <w:color w:val="auto"/>
              </w:rPr>
            </w:pP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1991</w:t>
            </w: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Contract revenue</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5"/>
              </w:rPr>
              <w:t>$ 44,683,403</w:t>
            </w:r>
          </w:p>
        </w:tc>
        <w:tc>
          <w:tcPr>
            <w:tcW w:w="15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$ 34,135,788</w:t>
            </w:r>
          </w:p>
        </w:tc>
        <w:tc>
          <w:tcPr>
            <w:tcW w:w="14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$ 31,588,228</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Cost of contract revenue (exclusive</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depreciation shown separately</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below)</w:t>
            </w:r>
          </w:p>
        </w:tc>
        <w:tc>
          <w:tcPr>
            <w:tcW w:w="1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28,729,144</w:t>
            </w:r>
          </w:p>
        </w:tc>
        <w:tc>
          <w:tcPr>
            <w:tcW w:w="26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22,162,792</w:t>
            </w:r>
          </w:p>
        </w:tc>
        <w:tc>
          <w:tcPr>
            <w:tcW w:w="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22,969,522</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w:t>
            </w:r>
          </w:p>
        </w:tc>
        <w:tc>
          <w:tcPr>
            <w:tcW w:w="1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609,268</w:t>
            </w:r>
          </w:p>
        </w:tc>
        <w:tc>
          <w:tcPr>
            <w:tcW w:w="26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371,488</w:t>
            </w:r>
          </w:p>
        </w:tc>
        <w:tc>
          <w:tcPr>
            <w:tcW w:w="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359,236</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General and administrative expenses</w:t>
            </w:r>
          </w:p>
        </w:tc>
        <w:tc>
          <w:tcPr>
            <w:tcW w:w="1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9,870,635</w:t>
            </w:r>
          </w:p>
        </w:tc>
        <w:tc>
          <w:tcPr>
            <w:tcW w:w="26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3,289,163</w:t>
            </w:r>
          </w:p>
        </w:tc>
        <w:tc>
          <w:tcPr>
            <w:tcW w:w="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2,795,528</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133,572</w:t>
            </w:r>
          </w:p>
        </w:tc>
        <w:tc>
          <w:tcPr>
            <w:tcW w:w="26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33,525</w:t>
            </w:r>
          </w:p>
        </w:tc>
        <w:tc>
          <w:tcPr>
            <w:tcW w:w="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28,779</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(314,524)</w:t>
            </w:r>
          </w:p>
        </w:tc>
        <w:tc>
          <w:tcPr>
            <w:tcW w:w="2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(206,881)</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(226,722)</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1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80,532</w:t>
            </w:r>
          </w:p>
        </w:tc>
        <w:tc>
          <w:tcPr>
            <w:tcW w:w="2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(209,444)</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(85,295)</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1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39,108,627</w:t>
            </w:r>
          </w:p>
        </w:tc>
        <w:tc>
          <w:tcPr>
            <w:tcW w:w="26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25,440,643</w:t>
            </w:r>
          </w:p>
        </w:tc>
        <w:tc>
          <w:tcPr>
            <w:tcW w:w="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25,841,048</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Income from operations</w:t>
            </w:r>
          </w:p>
        </w:tc>
        <w:tc>
          <w:tcPr>
            <w:tcW w:w="120" w:type="dxa"/>
            <w:vAlign w:val="bottom"/>
          </w:tcPr>
          <w:p>
            <w:pPr>
              <w:spacing w:after="0"/>
              <w:rPr>
                <w:sz w:val="24"/>
                <w:szCs w:val="24"/>
                <w:color w:val="auto"/>
              </w:rPr>
            </w:pPr>
          </w:p>
        </w:tc>
        <w:tc>
          <w:tcPr>
            <w:tcW w:w="13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5,574,776</w:t>
            </w:r>
          </w:p>
        </w:tc>
        <w:tc>
          <w:tcPr>
            <w:tcW w:w="260" w:type="dxa"/>
            <w:vAlign w:val="bottom"/>
          </w:tcPr>
          <w:p>
            <w:pPr>
              <w:spacing w:after="0"/>
              <w:rPr>
                <w:sz w:val="24"/>
                <w:szCs w:val="24"/>
                <w:color w:val="auto"/>
              </w:rPr>
            </w:pP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8,695,145</w:t>
            </w:r>
          </w:p>
        </w:tc>
        <w:tc>
          <w:tcPr>
            <w:tcW w:w="26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5,747,180</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Equity in earnings (losses) of</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unconsolidated joint ventures</w:t>
            </w:r>
          </w:p>
        </w:tc>
        <w:tc>
          <w:tcPr>
            <w:tcW w:w="1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1,187,497</w:t>
            </w:r>
          </w:p>
        </w:tc>
        <w:tc>
          <w:tcPr>
            <w:tcW w:w="2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(372,972)</w:t>
            </w:r>
          </w:p>
        </w:tc>
        <w:tc>
          <w:tcPr>
            <w:tcW w:w="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179,051</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Minority interest in earnings of</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consolidated joint venture</w:t>
            </w:r>
          </w:p>
        </w:tc>
        <w:tc>
          <w:tcPr>
            <w:tcW w:w="1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(10,446)</w:t>
            </w:r>
          </w:p>
        </w:tc>
        <w:tc>
          <w:tcPr>
            <w:tcW w:w="2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(42,618)</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(625,542)</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6,751,827</w:t>
            </w:r>
          </w:p>
        </w:tc>
        <w:tc>
          <w:tcPr>
            <w:tcW w:w="26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8,279,555</w:t>
            </w:r>
          </w:p>
        </w:tc>
        <w:tc>
          <w:tcPr>
            <w:tcW w:w="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5,300,689</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w w:val="99"/>
              </w:rPr>
              <w:t>Retained earnings, beginning of year</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3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(as restated for reverse acquisition) 14,665,438</w:t>
            </w:r>
          </w:p>
        </w:tc>
        <w:tc>
          <w:tcPr>
            <w:tcW w:w="26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8,411,017</w:t>
            </w:r>
          </w:p>
        </w:tc>
        <w:tc>
          <w:tcPr>
            <w:tcW w:w="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6,271,083</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to shareholders</w:t>
            </w:r>
          </w:p>
        </w:tc>
        <w:tc>
          <w:tcPr>
            <w:tcW w:w="1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(11,500,000)</w:t>
            </w:r>
          </w:p>
        </w:tc>
        <w:tc>
          <w:tcPr>
            <w:tcW w:w="2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(2,025,134)</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(3,160,755)</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Retained earnings, end of year</w:t>
            </w:r>
          </w:p>
        </w:tc>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9,917,265</w:t>
            </w:r>
          </w:p>
        </w:tc>
        <w:tc>
          <w:tcPr>
            <w:tcW w:w="15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$ 14,665,438</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8,411,017</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Earnings per common share</w:t>
            </w:r>
          </w:p>
        </w:tc>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0.66</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0.81</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0.52</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Page 8 of 31</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COMBINED STATEMENTS OF CASH FLOWS</w:t>
      </w:r>
    </w:p>
    <w:p>
      <w:pPr>
        <w:spacing w:after="0"/>
        <w:rPr>
          <w:sz w:val="20"/>
          <w:szCs w:val="20"/>
          <w:color w:val="auto"/>
        </w:rPr>
      </w:pPr>
      <w:r>
        <w:rPr>
          <w:rFonts w:ascii="Courier New" w:cs="Courier New" w:eastAsia="Courier New" w:hAnsi="Courier New"/>
          <w:sz w:val="18"/>
          <w:szCs w:val="18"/>
          <w:color w:val="auto"/>
        </w:rPr>
        <w:t>Three Years Ended December 31, 1993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1993</w:t>
            </w:r>
          </w:p>
        </w:tc>
        <w:tc>
          <w:tcPr>
            <w:tcW w:w="15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1992</w:t>
            </w:r>
          </w:p>
        </w:tc>
        <w:tc>
          <w:tcPr>
            <w:tcW w:w="144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7"/>
              </w:rPr>
              <w:t>1991</w:t>
            </w:r>
          </w:p>
        </w:tc>
      </w:tr>
      <w:tr>
        <w:trPr>
          <w:trHeight w:val="203"/>
        </w:trPr>
        <w:tc>
          <w:tcPr>
            <w:tcW w:w="402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Cash flows from operating activities:</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$ 6,751,827</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$ 8,279,555</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$ 5,300,689</w:t>
            </w:r>
          </w:p>
        </w:tc>
      </w:tr>
      <w:tr>
        <w:trPr>
          <w:trHeight w:val="405"/>
        </w:trPr>
        <w:tc>
          <w:tcPr>
            <w:tcW w:w="40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Adjustments to reconcile net income</w:t>
            </w: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net cash provided by operating</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activities:</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609,268</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371,488</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359,236</w:t>
            </w: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Loss on disposition of assets</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282,640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Equity in (earnings) losses of</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unconsolidated joint ventures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(1,187,497)</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372,972</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(179,051)</w:t>
            </w: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Minority interest in net income of</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consolidated joint venture</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10,446</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42,618</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625,542</w:t>
            </w: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Changes in assets and liabilities:</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Decrease (increase) in net accounts</w:t>
            </w: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receivable</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433,472</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(4,304,916)</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994,082</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Decrease (increase) in contract</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receivables</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2,142,833</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(758,645)</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(1,423,863)</w:t>
            </w: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Decrease (increase) in other</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current assets</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111,324</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(567,371)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111,775</w:t>
            </w: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in other assets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(537,980)</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(91,037)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(Decrease) increase in accounts</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payable and accrued expenses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(967,715)</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2,520,005</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667,310</w:t>
            </w: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(decrease) in other</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2,289,644</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179,624</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(167,472)</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(Decrease) increase in billings</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3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in excess of costs and estimated</w:t>
            </w: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earnings on uncompleted</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contracts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(1,527,012)</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1,284,095</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56,109</w:t>
            </w:r>
          </w:p>
        </w:tc>
      </w:tr>
      <w:tr>
        <w:trPr>
          <w:trHeight w:val="203"/>
        </w:trPr>
        <w:tc>
          <w:tcPr>
            <w:tcW w:w="40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activities</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8,411,250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7,328,388</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6,344,357</w:t>
            </w:r>
          </w:p>
        </w:tc>
      </w:tr>
      <w:tr>
        <w:trPr>
          <w:trHeight w:val="203"/>
        </w:trPr>
        <w:tc>
          <w:tcPr>
            <w:tcW w:w="40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40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Cash flows from investing activities:</w:t>
            </w: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5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Distribution from unconsolidated joint</w:t>
            </w: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venture</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1,484,000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48,000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24,051</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Investments in unconsolidated joint</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ventures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(660,000)</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(190,578)</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in joint venture</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equipment, net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(2,036,374)</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(1,739,864)</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(327,288)</w:t>
            </w:r>
          </w:p>
        </w:tc>
      </w:tr>
      <w:tr>
        <w:trPr>
          <w:trHeight w:val="203"/>
        </w:trPr>
        <w:tc>
          <w:tcPr>
            <w:tcW w:w="40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cash used in investing activities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(1,212,374)</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(1,887,442)</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(303,237)</w:t>
            </w:r>
          </w:p>
        </w:tc>
      </w:tr>
      <w:tr>
        <w:trPr>
          <w:trHeight w:val="203"/>
        </w:trPr>
        <w:tc>
          <w:tcPr>
            <w:tcW w:w="40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Page 9 of 31</w:t>
      </w:r>
    </w:p>
    <w:p>
      <w:pPr>
        <w:sectPr>
          <w:pgSz w:w="11900" w:h="16838" w:orient="portrait"/>
          <w:cols w:equalWidth="0" w:num="1">
            <w:col w:w="10219"/>
          </w:cols>
          <w:pgMar w:left="240" w:top="919"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COMBINED STATEMENTS OF CASH FLOWS</w:t>
      </w:r>
    </w:p>
    <w:p>
      <w:pPr>
        <w:spacing w:after="0"/>
        <w:rPr>
          <w:sz w:val="20"/>
          <w:szCs w:val="20"/>
          <w:color w:val="auto"/>
        </w:rPr>
      </w:pPr>
      <w:r>
        <w:rPr>
          <w:rFonts w:ascii="Courier New" w:cs="Courier New" w:eastAsia="Courier New" w:hAnsi="Courier New"/>
          <w:sz w:val="18"/>
          <w:szCs w:val="18"/>
          <w:color w:val="auto"/>
        </w:rPr>
        <w:t>Three Years Ended December 31, 1993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w w:val="98"/>
              </w:rPr>
              <w:t>Cash flows from financing activities:</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notes payable</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989,271</w:t>
            </w:r>
          </w:p>
        </w:tc>
        <w:tc>
          <w:tcPr>
            <w:tcW w:w="22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1,700,000</w:t>
            </w:r>
          </w:p>
        </w:tc>
        <w:tc>
          <w:tcPr>
            <w:tcW w:w="2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Principal payments on notes payable</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(948,592)</w:t>
            </w:r>
          </w:p>
        </w:tc>
        <w:tc>
          <w:tcPr>
            <w:tcW w:w="220" w:type="dxa"/>
            <w:vAlign w:val="bottom"/>
          </w:tcPr>
          <w:p>
            <w:pPr>
              <w:spacing w:after="0"/>
              <w:rPr>
                <w:sz w:val="17"/>
                <w:szCs w:val="17"/>
                <w:color w:val="auto"/>
              </w:rPr>
            </w:pP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(201,751)</w:t>
            </w:r>
          </w:p>
        </w:tc>
        <w:tc>
          <w:tcPr>
            <w:tcW w:w="2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(14,728)</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to shareholders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(8,500,000)</w:t>
            </w:r>
          </w:p>
        </w:tc>
        <w:tc>
          <w:tcPr>
            <w:tcW w:w="220" w:type="dxa"/>
            <w:vAlign w:val="bottom"/>
          </w:tcPr>
          <w:p>
            <w:pPr>
              <w:spacing w:after="0"/>
              <w:rPr>
                <w:sz w:val="17"/>
                <w:szCs w:val="17"/>
                <w:color w:val="auto"/>
              </w:rPr>
            </w:pP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(2,025,134)</w:t>
            </w:r>
          </w:p>
        </w:tc>
        <w:tc>
          <w:tcPr>
            <w:tcW w:w="2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(3,160,755)</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to partners of</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consolidated joint venture</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(602,549)</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 of loans from affiliates</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(334,610)</w:t>
            </w:r>
          </w:p>
        </w:tc>
        <w:tc>
          <w:tcPr>
            <w:tcW w:w="2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cash used in financing activities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(8,459,321)</w:t>
            </w:r>
          </w:p>
        </w:tc>
        <w:tc>
          <w:tcPr>
            <w:tcW w:w="220" w:type="dxa"/>
            <w:vAlign w:val="bottom"/>
          </w:tcPr>
          <w:p>
            <w:pPr>
              <w:spacing w:after="0"/>
              <w:rPr>
                <w:sz w:val="17"/>
                <w:szCs w:val="17"/>
                <w:color w:val="auto"/>
              </w:rPr>
            </w:pP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(861,495)</w:t>
            </w:r>
          </w:p>
        </w:tc>
        <w:tc>
          <w:tcPr>
            <w:tcW w:w="2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(3,778,032)</w:t>
            </w:r>
          </w:p>
        </w:tc>
      </w:tr>
      <w:tr>
        <w:trPr>
          <w:trHeight w:val="203"/>
        </w:trPr>
        <w:tc>
          <w:tcPr>
            <w:tcW w:w="39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equivalents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(1,260,445)</w:t>
            </w:r>
          </w:p>
        </w:tc>
        <w:tc>
          <w:tcPr>
            <w:tcW w:w="22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4,579,451</w:t>
            </w:r>
          </w:p>
        </w:tc>
        <w:tc>
          <w:tcPr>
            <w:tcW w:w="2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2,263,088</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Cash and cash equivalents, beginning</w:t>
            </w: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year</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10,190,412</w:t>
            </w:r>
          </w:p>
        </w:tc>
        <w:tc>
          <w:tcPr>
            <w:tcW w:w="22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5,610,961</w:t>
            </w:r>
          </w:p>
        </w:tc>
        <w:tc>
          <w:tcPr>
            <w:tcW w:w="2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3,347,873</w:t>
            </w:r>
          </w:p>
        </w:tc>
      </w:tr>
      <w:tr>
        <w:trPr>
          <w:trHeight w:val="203"/>
        </w:trPr>
        <w:tc>
          <w:tcPr>
            <w:tcW w:w="39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end of</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year</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$ 8,929,967</w:t>
            </w: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$10,190,412</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$ 5,610,961</w:t>
            </w:r>
          </w:p>
        </w:tc>
      </w:tr>
      <w:tr>
        <w:trPr>
          <w:trHeight w:val="203"/>
        </w:trPr>
        <w:tc>
          <w:tcPr>
            <w:tcW w:w="39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Supplemental disclosure of cash flow</w:t>
            </w: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information:</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paid during the year for</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   133,570</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33,525</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4,496</w:t>
            </w:r>
          </w:p>
        </w:tc>
      </w:tr>
      <w:tr>
        <w:trPr>
          <w:trHeight w:val="203"/>
        </w:trPr>
        <w:tc>
          <w:tcPr>
            <w:tcW w:w="39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disclosure of noncash financing activities:</w:t>
      </w:r>
    </w:p>
    <w:p>
      <w:pPr>
        <w:spacing w:after="0" w:line="4"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During 1993, the Group declared distributions to shareholders of $11,500,000. Of the amounts declared, $8,500,000 was paid in cash and $3,000,000 remains payable at December 31, 1993 as notes payable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Page 10 of 31</w:t>
      </w:r>
    </w:p>
    <w:p>
      <w:pPr>
        <w:sectPr>
          <w:pgSz w:w="11900" w:h="16838" w:orient="portrait"/>
          <w:cols w:equalWidth="0" w:num="1">
            <w:col w:w="10219"/>
          </w:cols>
          <w:pgMar w:left="240" w:top="919"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CHURCH &amp;</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TOWER GROUP</w:t>
            </w:r>
          </w:p>
        </w:tc>
        <w:tc>
          <w:tcPr>
            <w:tcW w:w="112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TO</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COMBINED FINANCIAL</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STATEMENTS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31, 1993, 1992 AND</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 NATURE OF BUSINESS AND SUMMARY OF SIGNIFICANT ACCOUNTING POLICIES: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Church &amp; Tower Group (the Group) represents the combination of two Florida corporations, Church &amp; Tower of Florida, Inc. (CT Florida) and Church &amp; Tower, Inc. (CT), which, prior to March 11, 1994, were owned by members of the Mas family. Effective March 11, 1994, the Group was acquired by Burnup &amp; Sims Inc. See Note 2.</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CT Florida, established in 1969, is engaged in the construction and maintenance of outside plant (underground cable and conduit, aerial lines, manholes, etc.) for utility companies servicing the geographical areas of Dade and Broward counties in South Florida. CT, incorporated in 1990 under the laws of the State of Florida, engages in construction contracts and serves, primarily, as CT Florida's manpower and equipment subcontractor.</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CT Florida holds three Master Contracts with BellSouth Telecommunications (Bell South). The contracts expire at various times through 1996, and provide for annual price revisions based on changes in the construction price index, as calculated and published by the U.S. Department of Commerce. CT Florida also provides construction services under individual contracts to Bell South and Miami-Dade Water &amp; Sewer Authority (Miami-Dade).</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1990, CT formed 9001 Joint Venture for the purpose of constructing a detention center for Metro-Dade County. From its initial 60% interest in the joint venture, CT increased its participation to 89.8% and 99.7% during 1991 and 1992, respectively. Accordingly, the accounts of 9001 Joint Venture have been consolidated with the accounts of CT in the accompanying combined financial statements.</w:t>
      </w:r>
    </w:p>
    <w:p>
      <w:pPr>
        <w:spacing w:after="0" w:line="210"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Also in 1990, CT entered into a joint venture agreement with an international construction contractor. In this venture, CT has had a 20% interest in two governmental projects and accounts for its investment under the equity method.</w:t>
      </w:r>
    </w:p>
    <w:p>
      <w:pPr>
        <w:spacing w:after="0" w:line="17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Effective June 1, 1992, CT merged its operations with those of Communication Contractors, Inc. (CCI) in a transaction accounted for as a pooling of interests. CCI, also wholly owned by a member of the Mas family, provided construction subcontracting services (manpower and equipment) to CT Florida during the year ended December 31, 1991 and for the period from January 1, 1992 through May 31, 1992. The accompanying financial statements for 1992 and 1991 include the operations of CCI.</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the latter part of 1992, the Company entered into a joint venture for the removal of debris related to Hurricane Andrew. The Company has a 25% interest in this venture and recorded approximately $1,087,000 of income during 1993 related to its equity in the earnings of this venture. The venture was essentially completed in 1993.</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 summary of the significant accounting policies followed in the preparation of the accompanying combined financial statements is presented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Page 11 of 31</w:t>
      </w:r>
    </w:p>
    <w:p>
      <w:pPr>
        <w:sectPr>
          <w:pgSz w:w="11900" w:h="16838" w:orient="portrait"/>
          <w:cols w:equalWidth="0" w:num="1">
            <w:col w:w="10219"/>
          </w:cols>
          <w:pgMar w:left="240" w:top="91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38" w:lineRule="auto"/>
        <w:rPr>
          <w:sz w:val="20"/>
          <w:szCs w:val="20"/>
          <w:color w:val="auto"/>
        </w:rPr>
      </w:pPr>
      <w:r>
        <w:rPr>
          <w:rFonts w:ascii="Courier New" w:cs="Courier New" w:eastAsia="Courier New" w:hAnsi="Courier New"/>
          <w:sz w:val="18"/>
          <w:szCs w:val="18"/>
          <w:color w:val="auto"/>
        </w:rPr>
        <w:t>Principles of combination</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combined financial statements include the accounts of CT Florida and CT and their majority owned joint venture. All significant intercompany balances and transactions have been eliminated.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Revenues and related costs for short term construction projects are recognized when the projects are completed.</w:t>
      </w:r>
    </w:p>
    <w:p>
      <w:pPr>
        <w:spacing w:after="0" w:line="208"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Revenues from long term construction contracts are recognized under the percentage-of-completion method. Provisions for estimated losses on uncompleted contracts are made in the period in which such losses are determined.</w:t>
      </w:r>
    </w:p>
    <w:p>
      <w:pPr>
        <w:spacing w:after="0" w:line="17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Billings in excess of costs and estimated earnings on uncompleted contracts are classified as current liabilities and represent billings in excess of revenues recognized.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and equipment, net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Property and equipment are recorded at cost, less accumulated depreciation. Depreciation is computed using the straight line method over the estimated useful lives of the related assets. Leasehold improvements are amortized over the shorter of the term of the lease or the estimated useful lives of the improvements. Expenditures for repairs and maintenance are charged to expense as incurred. Expenditures for betterments and major improvements are capitalized.</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Beginning in 1993, the Group changed prospectively the estimated useful life of construction and excavation equipment from 10 to 7 years. This change in estimated useful lives did not have a material effect on the 1993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CT Florida and CT have elected to be taxed under the Subchapter S provisions of the Internal Revenue Code, which provide that taxable income is to be included in the Federal income tax returns of the individual shareholders. Accordingly, no provision for income taxes has been recorded in the accompanying combined statements of income and retained earnings.</w:t>
      </w: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As explained in Note 2, the Group has been acquired by Burnup &amp; Sims Inc. ("Burnup"). As a result of this acquisition, the Group will be taxed as a C Corporation. Upon its change in tax status, the Group will record income taxes under the provisions of Statement of Financial Accounting Standards (SFAS) No. 109, Accounting for Income Taxes, which requires the Group to use the liability method of accounting for income taxes based on temporary taxable and deductible differences between the tax bases of the Group's assets and liabilities and their financial reporting bases. The change in tax status by the Group is expected to result in a net deferred tax asset of approximately $435,000 due to the tax effect of deductible temporary differences, principally related to certain provisions recorded at December 31, 1993 related to environmental and other matters.</w:t>
      </w:r>
    </w:p>
    <w:p>
      <w:pPr>
        <w:ind w:left="5900"/>
        <w:spacing w:after="0" w:line="238" w:lineRule="auto"/>
        <w:rPr>
          <w:sz w:val="20"/>
          <w:szCs w:val="20"/>
          <w:color w:val="auto"/>
        </w:rPr>
      </w:pPr>
      <w:r>
        <w:rPr>
          <w:rFonts w:ascii="Courier New" w:cs="Courier New" w:eastAsia="Courier New" w:hAnsi="Courier New"/>
          <w:sz w:val="18"/>
          <w:szCs w:val="18"/>
          <w:color w:val="auto"/>
        </w:rPr>
        <w:t>Page 12 of 31</w:t>
      </w:r>
    </w:p>
    <w:p>
      <w:pPr>
        <w:sectPr>
          <w:pgSz w:w="11900" w:h="16838" w:orient="portrait"/>
          <w:cols w:equalWidth="0" w:num="1">
            <w:col w:w="10219"/>
          </w:cols>
          <w:pgMar w:left="240" w:top="514"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Earnings per share for the three years ended December 31, 1993, were computed using the number of shares outstanding after giving effect to the exchange of shares at March 11, 1994 as described in Notes 2 and 10.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and cash equivalents</w:t>
      </w:r>
    </w:p>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The Group has defined cash and cash equivalents as those highly liquid investments purchased with an original maturity of three months or less.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expenditures</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Environmental expenditures that result from the remediation of an existing condition caused by past operations, that do not contribute to current or future revenues, are expensed. Liabilities are recognized when cleanup is probable and the cost can be reasonably estimated.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Reclassifications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Certain accounts in the accompanying combined financial statements for the years ended December 31, 1992 and 1991 have been reclassified for comparative purposes.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 ACQUISITION: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October 15, 1993, the shareholders of the Group entered an agreement, as amended, pursuant to which the Group was acquired, through an exchange of stock, effective March 11, 1994, by Burnup, a publicly traded company with business activities similar to the Group. As a result of the acquisition, the shareholders of the Group received approximately 65% of the shares of Burnup in exchange for 100% of the shares of CT and CT Florida. The reverse acquisition was accounted for as a purchase of Burnup by the Group. The name of the resulting merged entity was changed to MasTec, Inc. ("MasTec"). The results of operations of the Group will be included with those of MasTec for periods subsequent to the effective date of the acquisition.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 RELATED PARTY TRANSACTIONS:</w:t>
      </w:r>
    </w:p>
    <w:p>
      <w:pPr>
        <w:spacing w:after="0" w:line="207" w:lineRule="exact"/>
        <w:rPr>
          <w:sz w:val="20"/>
          <w:szCs w:val="20"/>
          <w:color w:val="auto"/>
        </w:rPr>
      </w:pPr>
    </w:p>
    <w:p>
      <w:pPr>
        <w:jc w:val="both"/>
        <w:ind w:right="2099"/>
        <w:spacing w:after="0" w:line="275" w:lineRule="auto"/>
        <w:rPr>
          <w:sz w:val="20"/>
          <w:szCs w:val="20"/>
          <w:color w:val="auto"/>
        </w:rPr>
      </w:pPr>
      <w:r>
        <w:rPr>
          <w:rFonts w:ascii="Courier New" w:cs="Courier New" w:eastAsia="Courier New" w:hAnsi="Courier New"/>
          <w:sz w:val="16"/>
          <w:szCs w:val="16"/>
          <w:color w:val="auto"/>
        </w:rPr>
        <w:t>The Group rents and purchases construction equipment from affiliates. During 1993, 1992 and 1991, the Group incurred approximately $249,000, $222,000 and $497,000 of equipment rental expense and purchased approximately $1,432,000, $127,000 and $605,000, respectively, from these affiliates.</w:t>
      </w:r>
    </w:p>
    <w:p>
      <w:pPr>
        <w:spacing w:after="0" w:line="18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Additionally, at December 31, 1993 and 1992 the Group had recorded $97,450 and $42,839 as amounts due from affiliates. These amounts are included in accounts receivable in the accompanying combined balance sheets.</w:t>
      </w:r>
    </w:p>
    <w:p>
      <w:pPr>
        <w:spacing w:after="0" w:line="200" w:lineRule="exact"/>
        <w:rPr>
          <w:sz w:val="20"/>
          <w:szCs w:val="20"/>
          <w:color w:val="auto"/>
        </w:rPr>
      </w:pPr>
    </w:p>
    <w:p>
      <w:pPr>
        <w:spacing w:after="0" w:line="20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Page 13 of 31</w:t>
      </w:r>
    </w:p>
    <w:p>
      <w:pPr>
        <w:sectPr>
          <w:pgSz w:w="11900" w:h="16838" w:orient="portrait"/>
          <w:cols w:equalWidth="0" w:num="1">
            <w:col w:w="10219"/>
          </w:cols>
          <w:pgMar w:left="240" w:top="919"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1993, the Group declared distributions to shareholders of $11,500,000. Of the amounts declared, $8,500,000 was paid in cash and $3,000,000 remains payable at December 31, 1993 in the form of notes payable to shareholders. The notes bear interest at the prime rate of interest plus 2% (8% at December 31, 1993) and are payable in semi-annual instalments of $500,000 beginning in August 1994, plus accrued interest, through February 1998. The loans are unsecured.</w:t>
      </w:r>
    </w:p>
    <w:p>
      <w:pPr>
        <w:spacing w:after="0" w:line="21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Group is a party to certain non-cancelable operating leases expiring October 1998 with an affiliate related to its equipment yards. Annual rental payments are $48,000.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 SIGNIFICANT CUSTOMERS AND CONCENTRATION OF CREDIT RISK: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Group provides construction services primarily to BellSouth and Miami-Dade. As a result, the Group is exposed to a concentration of credit risk with respect to these customers. Revenues from BellSouth and Miami-Dade for the years ended December 31, 1993, 1992 and 1991 were approximately $29.1 million, $22.3 million and $15.7 million; and $4.4 million, $1.9 million and $1.1 million, respectively. Accounts receivable from BellSouth and Miami-Dade at December 31, 1993 and 1992 were $3.3 million and $5.7 million; and $2.4 million and $108,000, respectively.</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addition, the Group, through its 9001 Joint Venture, recognized revenue from Metro-Dade County in connection with the construction of the detention center of approximately $10.7 million, $8.2 million and $14.4 million during the years ended December 31, 1993, 1992 and 1991, respectively. At December 31, 1993 and 1992 there were contracts receivable from Metro-Dade County in the amount of $400,000 and $2,542,833, respectively.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 PROPERTY AND EQUIPMENT:</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Property and equipment was comprised of the following as of December 31, 1993 and 1992: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Estimated</w:t>
            </w:r>
          </w:p>
        </w:tc>
      </w:tr>
      <w:tr>
        <w:trPr>
          <w:trHeight w:val="203"/>
        </w:trPr>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useful lives</w:t>
            </w:r>
          </w:p>
        </w:tc>
      </w:tr>
      <w:tr>
        <w:trPr>
          <w:trHeight w:val="203"/>
        </w:trPr>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1993</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years)</w:t>
            </w:r>
          </w:p>
        </w:tc>
      </w:tr>
      <w:tr>
        <w:trPr>
          <w:trHeight w:val="203"/>
        </w:trPr>
        <w:tc>
          <w:tcPr>
            <w:tcW w:w="3220" w:type="dxa"/>
            <w:vAlign w:val="bottom"/>
          </w:tcPr>
          <w:p>
            <w:pPr>
              <w:spacing w:after="0"/>
              <w:rPr>
                <w:sz w:val="17"/>
                <w:szCs w:val="17"/>
                <w:color w:val="auto"/>
              </w:rPr>
            </w:pPr>
          </w:p>
        </w:tc>
        <w:tc>
          <w:tcPr>
            <w:tcW w:w="18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Land</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216,395</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216,395</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 and improvements</w:t>
            </w:r>
          </w:p>
        </w:tc>
        <w:tc>
          <w:tcPr>
            <w:tcW w:w="260" w:type="dxa"/>
            <w:vAlign w:val="bottom"/>
          </w:tcPr>
          <w:p>
            <w:pPr>
              <w:spacing w:after="0"/>
              <w:rPr>
                <w:sz w:val="17"/>
                <w:szCs w:val="17"/>
                <w:color w:val="auto"/>
              </w:rPr>
            </w:pP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526,942</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526,942</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260" w:type="dxa"/>
            <w:vAlign w:val="bottom"/>
          </w:tcPr>
          <w:p>
            <w:pPr>
              <w:spacing w:after="0"/>
              <w:rPr>
                <w:sz w:val="17"/>
                <w:szCs w:val="17"/>
                <w:color w:val="auto"/>
              </w:rPr>
            </w:pP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4,881,088</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4,262,138</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Office furniture and equipment</w:t>
            </w:r>
          </w:p>
        </w:tc>
        <w:tc>
          <w:tcPr>
            <w:tcW w:w="260" w:type="dxa"/>
            <w:vAlign w:val="bottom"/>
          </w:tcPr>
          <w:p>
            <w:pPr>
              <w:spacing w:after="0"/>
              <w:rPr>
                <w:sz w:val="17"/>
                <w:szCs w:val="17"/>
                <w:color w:val="auto"/>
              </w:rPr>
            </w:pP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442,390</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457,473</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220" w:type="dxa"/>
            <w:vAlign w:val="bottom"/>
          </w:tcPr>
          <w:p>
            <w:pPr>
              <w:spacing w:after="0"/>
              <w:rPr>
                <w:sz w:val="17"/>
                <w:szCs w:val="17"/>
                <w:color w:val="auto"/>
              </w:rPr>
            </w:pPr>
          </w:p>
        </w:tc>
        <w:tc>
          <w:tcPr>
            <w:tcW w:w="18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6,066,815</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5,462,948</w:t>
            </w:r>
          </w:p>
        </w:tc>
        <w:tc>
          <w:tcPr>
            <w:tcW w:w="126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Less-accumulated depreciation</w:t>
            </w:r>
          </w:p>
        </w:tc>
        <w:tc>
          <w:tcPr>
            <w:tcW w:w="2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5"/>
              </w:rPr>
              <w:t>(1,434,494)</w:t>
            </w:r>
          </w:p>
        </w:tc>
        <w:tc>
          <w:tcPr>
            <w:tcW w:w="288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(1,807,093)</w:t>
            </w:r>
          </w:p>
        </w:tc>
      </w:tr>
      <w:tr>
        <w:trPr>
          <w:trHeight w:val="203"/>
        </w:trPr>
        <w:tc>
          <w:tcPr>
            <w:tcW w:w="3220" w:type="dxa"/>
            <w:vAlign w:val="bottom"/>
          </w:tcPr>
          <w:p>
            <w:pPr>
              <w:spacing w:after="0"/>
              <w:rPr>
                <w:sz w:val="17"/>
                <w:szCs w:val="17"/>
                <w:color w:val="auto"/>
              </w:rPr>
            </w:pPr>
          </w:p>
        </w:tc>
        <w:tc>
          <w:tcPr>
            <w:tcW w:w="18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8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$ 4,632,321</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$ 3,655,855</w:t>
            </w:r>
          </w:p>
        </w:tc>
        <w:tc>
          <w:tcPr>
            <w:tcW w:w="126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8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Page 14 of 31</w:t>
      </w:r>
    </w:p>
    <w:p>
      <w:pPr>
        <w:sectPr>
          <w:pgSz w:w="11900" w:h="16838" w:orient="portrait"/>
          <w:cols w:equalWidth="0" w:num="1">
            <w:col w:w="10219"/>
          </w:cols>
          <w:pgMar w:left="240" w:top="919"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 OTHER ASSETS: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Included in other assets at December 31, 1993, are approximately $541,000 of deferred costs related to the acquisition of Burnup.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 ACCOUNTS PAYABLE AND ACCRUED EXPENSES: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At December 31,1993 and 1992, accounts payable and accrued expenses consisted of the following:</w:t>
      </w:r>
    </w:p>
    <w:p>
      <w:pPr>
        <w:spacing w:after="0" w:line="200" w:lineRule="exact"/>
        <w:rPr>
          <w:sz w:val="20"/>
          <w:szCs w:val="20"/>
          <w:color w:val="auto"/>
        </w:rPr>
      </w:pP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100" w:type="dxa"/>
            <w:vAlign w:val="bottom"/>
          </w:tcPr>
          <w:p>
            <w:pPr>
              <w:spacing w:after="0"/>
              <w:rPr>
                <w:sz w:val="17"/>
                <w:szCs w:val="17"/>
                <w:color w:val="auto"/>
              </w:rPr>
            </w:pPr>
          </w:p>
        </w:tc>
        <w:tc>
          <w:tcPr>
            <w:tcW w:w="21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1993</w:t>
            </w:r>
          </w:p>
        </w:tc>
        <w:tc>
          <w:tcPr>
            <w:tcW w:w="1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3100" w:type="dxa"/>
            <w:vAlign w:val="bottom"/>
          </w:tcPr>
          <w:p>
            <w:pPr>
              <w:spacing w:after="0"/>
              <w:rPr>
                <w:sz w:val="17"/>
                <w:szCs w:val="17"/>
                <w:color w:val="auto"/>
              </w:rPr>
            </w:pPr>
          </w:p>
        </w:tc>
        <w:tc>
          <w:tcPr>
            <w:tcW w:w="2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Trade accounts payable</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$ 1,740,623</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$ 3,278,170</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insurance premiums</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818,000</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640,000</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payroll</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240,814</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193,693</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Bank overdraft - 9001 Joint</w:t>
            </w:r>
          </w:p>
        </w:tc>
        <w:tc>
          <w:tcPr>
            <w:tcW w:w="21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Venture</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281,500</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accrued expenses</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242,928</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179,717</w:t>
            </w:r>
          </w:p>
        </w:tc>
      </w:tr>
      <w:tr>
        <w:trPr>
          <w:trHeight w:val="203"/>
        </w:trPr>
        <w:tc>
          <w:tcPr>
            <w:tcW w:w="3100" w:type="dxa"/>
            <w:vAlign w:val="bottom"/>
          </w:tcPr>
          <w:p>
            <w:pPr>
              <w:spacing w:after="0"/>
              <w:rPr>
                <w:sz w:val="17"/>
                <w:szCs w:val="17"/>
                <w:color w:val="auto"/>
              </w:rPr>
            </w:pPr>
          </w:p>
        </w:tc>
        <w:tc>
          <w:tcPr>
            <w:tcW w:w="2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00" w:type="dxa"/>
            <w:vAlign w:val="bottom"/>
          </w:tcPr>
          <w:p>
            <w:pPr>
              <w:spacing w:after="0"/>
              <w:rPr>
                <w:sz w:val="17"/>
                <w:szCs w:val="17"/>
                <w:color w:val="auto"/>
              </w:rPr>
            </w:pP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$ 3,323,865</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$ 4,291,580</w:t>
            </w:r>
          </w:p>
        </w:tc>
      </w:tr>
      <w:tr>
        <w:trPr>
          <w:trHeight w:val="203"/>
        </w:trPr>
        <w:tc>
          <w:tcPr>
            <w:tcW w:w="3100" w:type="dxa"/>
            <w:vAlign w:val="bottom"/>
          </w:tcPr>
          <w:p>
            <w:pPr>
              <w:spacing w:after="0"/>
              <w:rPr>
                <w:sz w:val="17"/>
                <w:szCs w:val="17"/>
                <w:color w:val="auto"/>
              </w:rPr>
            </w:pPr>
          </w:p>
        </w:tc>
        <w:tc>
          <w:tcPr>
            <w:tcW w:w="2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 COSTS AND ESTIMATED EARNINGS ON UNCOMPLETED CONTRACTS: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Billings in excess of costs and estimated earnings on uncompleted contracts with Metro-Dade County at December 31, 1992, were as follows:</w:t>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Costs incurred on uncompleted</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contracts</w:t>
            </w: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18,119,364</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 earnings</w:t>
            </w:r>
          </w:p>
        </w:tc>
        <w:tc>
          <w:tcPr>
            <w:tcW w:w="48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5,079,299</w:t>
            </w:r>
          </w:p>
        </w:tc>
      </w:tr>
      <w:tr>
        <w:trPr>
          <w:trHeight w:val="203"/>
        </w:trPr>
        <w:tc>
          <w:tcPr>
            <w:tcW w:w="3380" w:type="dxa"/>
            <w:vAlign w:val="bottom"/>
          </w:tcPr>
          <w:p>
            <w:pPr>
              <w:spacing w:after="0"/>
              <w:rPr>
                <w:sz w:val="17"/>
                <w:szCs w:val="17"/>
                <w:color w:val="auto"/>
              </w:rPr>
            </w:pPr>
          </w:p>
        </w:tc>
        <w:tc>
          <w:tcPr>
            <w:tcW w:w="18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23,198,663</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 billings to date</w:t>
            </w:r>
          </w:p>
        </w:tc>
        <w:tc>
          <w:tcPr>
            <w:tcW w:w="4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(24,725,675)</w:t>
            </w:r>
          </w:p>
        </w:tc>
      </w:tr>
      <w:tr>
        <w:trPr>
          <w:trHeight w:val="203"/>
        </w:trPr>
        <w:tc>
          <w:tcPr>
            <w:tcW w:w="3380" w:type="dxa"/>
            <w:vAlign w:val="bottom"/>
          </w:tcPr>
          <w:p>
            <w:pPr>
              <w:spacing w:after="0"/>
              <w:rPr>
                <w:sz w:val="17"/>
                <w:szCs w:val="17"/>
                <w:color w:val="auto"/>
              </w:rPr>
            </w:pPr>
          </w:p>
        </w:tc>
        <w:tc>
          <w:tcPr>
            <w:tcW w:w="1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380" w:type="dxa"/>
            <w:vAlign w:val="bottom"/>
          </w:tcPr>
          <w:p>
            <w:pPr>
              <w:spacing w:after="0"/>
              <w:rPr>
                <w:sz w:val="17"/>
                <w:szCs w:val="17"/>
                <w:color w:val="auto"/>
              </w:rPr>
            </w:pP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(1,527,012)</w:t>
            </w:r>
          </w:p>
        </w:tc>
      </w:tr>
      <w:tr>
        <w:trPr>
          <w:trHeight w:val="203"/>
        </w:trPr>
        <w:tc>
          <w:tcPr>
            <w:tcW w:w="3380" w:type="dxa"/>
            <w:vAlign w:val="bottom"/>
          </w:tcPr>
          <w:p>
            <w:pPr>
              <w:spacing w:after="0"/>
              <w:rPr>
                <w:sz w:val="17"/>
                <w:szCs w:val="17"/>
                <w:color w:val="auto"/>
              </w:rPr>
            </w:pPr>
          </w:p>
        </w:tc>
        <w:tc>
          <w:tcPr>
            <w:tcW w:w="1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Page 15 of 31</w:t>
      </w:r>
    </w:p>
    <w:p>
      <w:pPr>
        <w:sectPr>
          <w:pgSz w:w="11900" w:h="16838" w:orient="portrait"/>
          <w:cols w:equalWidth="0" w:num="1">
            <w:col w:w="10219"/>
          </w:cols>
          <w:pgMar w:left="240" w:top="919"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 NOTES PAYABLE: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payable at December 31, 1993 and 1992 consisted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1993</w:t>
            </w:r>
          </w:p>
        </w:tc>
        <w:tc>
          <w:tcPr>
            <w:tcW w:w="780" w:type="dxa"/>
            <w:vAlign w:val="bottom"/>
          </w:tcPr>
          <w:p>
            <w:pPr>
              <w:spacing w:after="0"/>
              <w:rPr>
                <w:sz w:val="17"/>
                <w:szCs w:val="17"/>
                <w:color w:val="auto"/>
              </w:rPr>
            </w:pPr>
          </w:p>
        </w:tc>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3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Instalment note payable to bank,</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original amount of $2 million</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fully disbursed in January 1993,</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due in monthly instalments of</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$41,667 plus interest at 7.7%</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through January 1997, collateralized</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receivables and equipment.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1,561,112</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1,010,729</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Note payable to bank, payable in</w:t>
            </w: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monthly instalments of $19,444 plus</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at Prime plus 1/2%</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(6 1/2% at December 31, 1992)</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beginning in May 1992 through April</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1995, collateralized by receivables</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equipment.</w:t>
            </w:r>
          </w:p>
        </w:tc>
        <w:tc>
          <w:tcPr>
            <w:tcW w:w="42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502,778</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Other</w:t>
            </w:r>
          </w:p>
        </w:tc>
        <w:tc>
          <w:tcPr>
            <w:tcW w:w="420" w:type="dxa"/>
            <w:vAlign w:val="bottom"/>
          </w:tcPr>
          <w:p>
            <w:pPr>
              <w:spacing w:after="0"/>
              <w:rPr>
                <w:sz w:val="24"/>
                <w:szCs w:val="24"/>
                <w:color w:val="auto"/>
              </w:rPr>
            </w:pPr>
          </w:p>
        </w:tc>
        <w:tc>
          <w:tcPr>
            <w:tcW w:w="16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26,453</w:t>
            </w:r>
          </w:p>
        </w:tc>
        <w:tc>
          <w:tcPr>
            <w:tcW w:w="78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33,379</w:t>
            </w:r>
          </w:p>
        </w:tc>
      </w:tr>
      <w:tr>
        <w:trPr>
          <w:trHeight w:val="203"/>
        </w:trPr>
        <w:tc>
          <w:tcPr>
            <w:tcW w:w="3900" w:type="dxa"/>
            <w:vAlign w:val="bottom"/>
          </w:tcPr>
          <w:p>
            <w:pPr>
              <w:spacing w:after="0"/>
              <w:rPr>
                <w:sz w:val="17"/>
                <w:szCs w:val="17"/>
                <w:color w:val="auto"/>
              </w:rPr>
            </w:pPr>
          </w:p>
        </w:tc>
        <w:tc>
          <w:tcPr>
            <w:tcW w:w="20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1,587,565</w:t>
            </w:r>
          </w:p>
        </w:tc>
        <w:tc>
          <w:tcPr>
            <w:tcW w:w="78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1,546,886</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 current maturities</w:t>
            </w:r>
          </w:p>
        </w:tc>
        <w:tc>
          <w:tcPr>
            <w:tcW w:w="42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(508,364)</w:t>
            </w:r>
          </w:p>
        </w:tc>
        <w:tc>
          <w:tcPr>
            <w:tcW w:w="7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(691,667)</w:t>
            </w:r>
          </w:p>
        </w:tc>
      </w:tr>
      <w:tr>
        <w:trPr>
          <w:trHeight w:val="203"/>
        </w:trPr>
        <w:tc>
          <w:tcPr>
            <w:tcW w:w="3900" w:type="dxa"/>
            <w:vAlign w:val="bottom"/>
          </w:tcPr>
          <w:p>
            <w:pPr>
              <w:spacing w:after="0"/>
              <w:rPr>
                <w:sz w:val="17"/>
                <w:szCs w:val="17"/>
                <w:color w:val="auto"/>
              </w:rPr>
            </w:pPr>
          </w:p>
        </w:tc>
        <w:tc>
          <w:tcPr>
            <w:tcW w:w="20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1,079,201</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855,219</w:t>
            </w:r>
          </w:p>
        </w:tc>
      </w:tr>
      <w:tr>
        <w:trPr>
          <w:trHeight w:val="203"/>
        </w:trPr>
        <w:tc>
          <w:tcPr>
            <w:tcW w:w="3900" w:type="dxa"/>
            <w:vAlign w:val="bottom"/>
          </w:tcPr>
          <w:p>
            <w:pPr>
              <w:spacing w:after="0"/>
              <w:rPr>
                <w:sz w:val="17"/>
                <w:szCs w:val="17"/>
                <w:color w:val="auto"/>
              </w:rPr>
            </w:pPr>
          </w:p>
        </w:tc>
        <w:tc>
          <w:tcPr>
            <w:tcW w:w="20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w w:val="99"/>
              </w:rPr>
              <w:t>Principal maturities are as follows:</w:t>
            </w: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1994</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508,364</w:t>
            </w: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1995</w:t>
            </w:r>
          </w:p>
        </w:tc>
        <w:tc>
          <w:tcPr>
            <w:tcW w:w="420" w:type="dxa"/>
            <w:vAlign w:val="bottom"/>
          </w:tcPr>
          <w:p>
            <w:pPr>
              <w:spacing w:after="0"/>
              <w:rPr>
                <w:sz w:val="17"/>
                <w:szCs w:val="17"/>
                <w:color w:val="auto"/>
              </w:rPr>
            </w:pPr>
          </w:p>
        </w:tc>
        <w:tc>
          <w:tcPr>
            <w:tcW w:w="16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508,365</w:t>
            </w: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1996</w:t>
            </w:r>
          </w:p>
        </w:tc>
        <w:tc>
          <w:tcPr>
            <w:tcW w:w="420" w:type="dxa"/>
            <w:vAlign w:val="bottom"/>
          </w:tcPr>
          <w:p>
            <w:pPr>
              <w:spacing w:after="0"/>
              <w:rPr>
                <w:sz w:val="17"/>
                <w:szCs w:val="17"/>
                <w:color w:val="auto"/>
              </w:rPr>
            </w:pPr>
          </w:p>
        </w:tc>
        <w:tc>
          <w:tcPr>
            <w:tcW w:w="16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569,477</w:t>
            </w: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1997</w:t>
            </w:r>
          </w:p>
        </w:tc>
        <w:tc>
          <w:tcPr>
            <w:tcW w:w="420" w:type="dxa"/>
            <w:vAlign w:val="bottom"/>
          </w:tcPr>
          <w:p>
            <w:pPr>
              <w:spacing w:after="0"/>
              <w:rPr>
                <w:sz w:val="17"/>
                <w:szCs w:val="17"/>
                <w:color w:val="auto"/>
              </w:rPr>
            </w:pPr>
          </w:p>
        </w:tc>
        <w:tc>
          <w:tcPr>
            <w:tcW w:w="16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1,359</w:t>
            </w: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20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ind w:left="4120"/>
        <w:spacing w:after="0" w:line="238" w:lineRule="auto"/>
        <w:rPr>
          <w:sz w:val="20"/>
          <w:szCs w:val="20"/>
          <w:color w:val="auto"/>
        </w:rPr>
      </w:pPr>
      <w:r>
        <w:rPr>
          <w:rFonts w:ascii="Courier New" w:cs="Courier New" w:eastAsia="Courier New" w:hAnsi="Courier New"/>
          <w:sz w:val="18"/>
          <w:szCs w:val="18"/>
          <w:color w:val="auto"/>
        </w:rPr>
        <w:t>$ 1,587,565</w:t>
      </w:r>
    </w:p>
    <w:p>
      <w:pPr>
        <w:ind w:left="4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 SHAREHOLDERS' EQUITY:</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As a result of the reverse acquisition by the Group of Burnup in March 1994, described in Note 2, the Group's historical shareholders' equity has been retroactively restated in the accompanying combined balance sheets at December 31, 1993 and 1992. The restatement gives effect to the number of shares of MasTec received by the Group at the date of acquisition, as well as the par value of the shares received. The effect of the restatement is as follows:</w:t>
      </w:r>
    </w:p>
    <w:p>
      <w:pPr>
        <w:spacing w:after="0" w:line="200" w:lineRule="exact"/>
        <w:rPr>
          <w:sz w:val="20"/>
          <w:szCs w:val="20"/>
          <w:color w:val="auto"/>
        </w:rPr>
      </w:pPr>
    </w:p>
    <w:p>
      <w:pPr>
        <w:spacing w:after="0" w:line="208"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Page 16 of 31</w:t>
      </w:r>
    </w:p>
    <w:p>
      <w:pPr>
        <w:sectPr>
          <w:pgSz w:w="11900" w:h="16838" w:orient="portrait"/>
          <w:cols w:equalWidth="0" w:num="1">
            <w:col w:w="10219"/>
          </w:cols>
          <w:pgMar w:left="240" w:top="919"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Additional</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Common</w:t>
            </w:r>
          </w:p>
        </w:tc>
        <w:tc>
          <w:tcPr>
            <w:tcW w:w="2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paid in</w:t>
            </w:r>
          </w:p>
        </w:tc>
        <w:tc>
          <w:tcPr>
            <w:tcW w:w="3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Treasury</w:t>
            </w:r>
          </w:p>
        </w:tc>
        <w:tc>
          <w:tcPr>
            <w:tcW w:w="14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Retained</w:t>
            </w:r>
          </w:p>
        </w:tc>
      </w:tr>
      <w:tr>
        <w:trPr>
          <w:trHeight w:val="203"/>
        </w:trPr>
        <w:tc>
          <w:tcPr>
            <w:tcW w:w="2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stock</w:t>
            </w:r>
          </w:p>
        </w:tc>
        <w:tc>
          <w:tcPr>
            <w:tcW w:w="2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capital</w:t>
            </w:r>
          </w:p>
        </w:tc>
        <w:tc>
          <w:tcPr>
            <w:tcW w:w="32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stock</w:t>
            </w:r>
          </w:p>
        </w:tc>
        <w:tc>
          <w:tcPr>
            <w:tcW w:w="14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earnings</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26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3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Historical amount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42,000</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(14,169)</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$ 10,908,434</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 for reverse</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acquisition</w:t>
            </w:r>
          </w:p>
        </w:tc>
        <w:tc>
          <w:tcPr>
            <w:tcW w:w="26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1,019,000</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(42,000)</w:t>
            </w:r>
          </w:p>
        </w:tc>
        <w:tc>
          <w:tcPr>
            <w:tcW w:w="3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14,169</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(991,169)</w:t>
            </w:r>
          </w:p>
        </w:tc>
      </w:tr>
      <w:tr>
        <w:trPr>
          <w:trHeight w:val="203"/>
        </w:trPr>
        <w:tc>
          <w:tcPr>
            <w:tcW w:w="244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Restated balances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1,025,000</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9,917,265</w:t>
            </w:r>
          </w:p>
        </w:tc>
      </w:tr>
      <w:tr>
        <w:trPr>
          <w:trHeight w:val="203"/>
        </w:trPr>
        <w:tc>
          <w:tcPr>
            <w:tcW w:w="244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Historical amount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6,000</w:t>
            </w:r>
          </w:p>
        </w:tc>
        <w:tc>
          <w:tcPr>
            <w:tcW w:w="220" w:type="dxa"/>
            <w:vAlign w:val="bottom"/>
          </w:tcPr>
          <w:p>
            <w:pPr>
              <w:ind w:left="120"/>
              <w:spacing w:after="0"/>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42,000</w:t>
            </w:r>
          </w:p>
        </w:tc>
        <w:tc>
          <w:tcPr>
            <w:tcW w:w="3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(14,169)</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$ 15,656,607</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 for reverse</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acquisition</w:t>
            </w:r>
          </w:p>
        </w:tc>
        <w:tc>
          <w:tcPr>
            <w:tcW w:w="26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1,019,000</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(42,000)</w:t>
            </w:r>
          </w:p>
        </w:tc>
        <w:tc>
          <w:tcPr>
            <w:tcW w:w="3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14,169</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(991,169)</w:t>
            </w:r>
          </w:p>
        </w:tc>
      </w:tr>
      <w:tr>
        <w:trPr>
          <w:trHeight w:val="203"/>
        </w:trPr>
        <w:tc>
          <w:tcPr>
            <w:tcW w:w="244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Restated balances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1,025,000</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$ 14,665,438</w:t>
            </w:r>
          </w:p>
        </w:tc>
      </w:tr>
      <w:tr>
        <w:trPr>
          <w:trHeight w:val="203"/>
        </w:trPr>
        <w:tc>
          <w:tcPr>
            <w:tcW w:w="244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MasTec shares have a $.10</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par value.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weighted average number of shares outstanding used in the computations of earnings per share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1993</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1992</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1991</w:t>
            </w:r>
          </w:p>
        </w:tc>
      </w:tr>
      <w:tr>
        <w:trPr>
          <w:trHeight w:val="203"/>
        </w:trPr>
        <w:tc>
          <w:tcPr>
            <w:tcW w:w="332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common</w:t>
            </w:r>
          </w:p>
        </w:tc>
        <w:tc>
          <w:tcPr>
            <w:tcW w:w="1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6,000</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 for shares</w:t>
            </w:r>
          </w:p>
        </w:tc>
        <w:tc>
          <w:tcPr>
            <w:tcW w:w="1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received in connection</w:t>
            </w:r>
          </w:p>
        </w:tc>
        <w:tc>
          <w:tcPr>
            <w:tcW w:w="1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with the reverse acquisition</w:t>
            </w:r>
          </w:p>
        </w:tc>
        <w:tc>
          <w:tcPr>
            <w:tcW w:w="1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Burnup</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10,244,000</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10,244,000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10,244,000</w:t>
            </w:r>
          </w:p>
        </w:tc>
      </w:tr>
      <w:tr>
        <w:trPr>
          <w:trHeight w:val="203"/>
        </w:trPr>
        <w:tc>
          <w:tcPr>
            <w:tcW w:w="332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w:t>
            </w:r>
          </w:p>
        </w:tc>
        <w:tc>
          <w:tcPr>
            <w:tcW w:w="1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used in the per share</w:t>
            </w:r>
          </w:p>
        </w:tc>
        <w:tc>
          <w:tcPr>
            <w:tcW w:w="1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computations</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10,250,000</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10,250,000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10,250,000</w:t>
            </w:r>
          </w:p>
        </w:tc>
      </w:tr>
      <w:tr>
        <w:trPr>
          <w:trHeight w:val="203"/>
        </w:trPr>
        <w:tc>
          <w:tcPr>
            <w:tcW w:w="332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Page 17 of 31</w:t>
      </w:r>
    </w:p>
    <w:p>
      <w:pPr>
        <w:sectPr>
          <w:pgSz w:w="11900" w:h="16838" w:orient="portrait"/>
          <w:cols w:equalWidth="0" w:num="1">
            <w:col w:w="10219"/>
          </w:cols>
          <w:pgMar w:left="240" w:top="919"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 BUSINESS SEGMENTS: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segment information is summarized as follows:</w:t>
      </w:r>
    </w:p>
    <w:p>
      <w:pPr>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1993</w:t>
            </w:r>
          </w:p>
        </w:tc>
        <w:tc>
          <w:tcPr>
            <w:tcW w:w="540" w:type="dxa"/>
            <w:vAlign w:val="bottom"/>
          </w:tcPr>
          <w:p>
            <w:pPr>
              <w:spacing w:after="0"/>
              <w:rPr>
                <w:sz w:val="17"/>
                <w:szCs w:val="17"/>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1992</w:t>
            </w:r>
          </w:p>
        </w:tc>
        <w:tc>
          <w:tcPr>
            <w:tcW w:w="620" w:type="dxa"/>
            <w:vAlign w:val="bottom"/>
          </w:tcPr>
          <w:p>
            <w:pPr>
              <w:spacing w:after="0"/>
              <w:rPr>
                <w:sz w:val="17"/>
                <w:szCs w:val="17"/>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1991</w:t>
            </w:r>
          </w:p>
        </w:tc>
      </w:tr>
      <w:tr>
        <w:trPr>
          <w:trHeight w:val="203"/>
        </w:trPr>
        <w:tc>
          <w:tcPr>
            <w:tcW w:w="2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Contract revenue:</w:t>
            </w: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Utility services</w:t>
            </w:r>
          </w:p>
        </w:tc>
        <w:tc>
          <w:tcPr>
            <w:tcW w:w="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34,010</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25,896</w:t>
            </w:r>
          </w:p>
        </w:tc>
        <w:tc>
          <w:tcPr>
            <w:tcW w:w="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17,093</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construction</w:t>
            </w:r>
          </w:p>
        </w:tc>
        <w:tc>
          <w:tcPr>
            <w:tcW w:w="84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10,673</w:t>
            </w:r>
          </w:p>
        </w:tc>
        <w:tc>
          <w:tcPr>
            <w:tcW w:w="5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8,240</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14,495</w:t>
            </w:r>
          </w:p>
        </w:tc>
      </w:tr>
      <w:tr>
        <w:trPr>
          <w:trHeight w:val="203"/>
        </w:trPr>
        <w:tc>
          <w:tcPr>
            <w:tcW w:w="2900" w:type="dxa"/>
            <w:vAlign w:val="bottom"/>
          </w:tcPr>
          <w:p>
            <w:pPr>
              <w:spacing w:after="0"/>
              <w:rPr>
                <w:sz w:val="17"/>
                <w:szCs w:val="17"/>
                <w:color w:val="auto"/>
              </w:rPr>
            </w:pPr>
          </w:p>
        </w:tc>
        <w:tc>
          <w:tcPr>
            <w:tcW w:w="18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44,683</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34,136</w:t>
            </w:r>
          </w:p>
        </w:tc>
        <w:tc>
          <w:tcPr>
            <w:tcW w:w="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31,588</w:t>
            </w:r>
          </w:p>
        </w:tc>
      </w:tr>
      <w:tr>
        <w:trPr>
          <w:trHeight w:val="203"/>
        </w:trPr>
        <w:tc>
          <w:tcPr>
            <w:tcW w:w="2900" w:type="dxa"/>
            <w:vAlign w:val="bottom"/>
          </w:tcPr>
          <w:p>
            <w:pPr>
              <w:spacing w:after="0"/>
              <w:rPr>
                <w:sz w:val="17"/>
                <w:szCs w:val="17"/>
                <w:color w:val="auto"/>
              </w:rPr>
            </w:pPr>
          </w:p>
        </w:tc>
        <w:tc>
          <w:tcPr>
            <w:tcW w:w="18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Utility services</w:t>
            </w:r>
          </w:p>
        </w:tc>
        <w:tc>
          <w:tcPr>
            <w:tcW w:w="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9,351</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8,472</w:t>
            </w:r>
          </w:p>
        </w:tc>
        <w:tc>
          <w:tcPr>
            <w:tcW w:w="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3,900</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construction</w:t>
            </w:r>
          </w:p>
        </w:tc>
        <w:tc>
          <w:tcPr>
            <w:tcW w:w="84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2,266</w:t>
            </w:r>
          </w:p>
        </w:tc>
        <w:tc>
          <w:tcPr>
            <w:tcW w:w="5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2,149</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2,747</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Corporate</w:t>
            </w:r>
          </w:p>
        </w:tc>
        <w:tc>
          <w:tcPr>
            <w:tcW w:w="8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(6,042)</w:t>
            </w:r>
          </w:p>
        </w:tc>
        <w:tc>
          <w:tcPr>
            <w:tcW w:w="5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(1,926)</w:t>
            </w:r>
          </w:p>
        </w:tc>
        <w:tc>
          <w:tcPr>
            <w:tcW w:w="6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(900)</w:t>
            </w:r>
          </w:p>
        </w:tc>
      </w:tr>
      <w:tr>
        <w:trPr>
          <w:trHeight w:val="203"/>
        </w:trPr>
        <w:tc>
          <w:tcPr>
            <w:tcW w:w="2900" w:type="dxa"/>
            <w:vAlign w:val="bottom"/>
          </w:tcPr>
          <w:p>
            <w:pPr>
              <w:spacing w:after="0"/>
              <w:rPr>
                <w:sz w:val="17"/>
                <w:szCs w:val="17"/>
                <w:color w:val="auto"/>
              </w:rPr>
            </w:pPr>
          </w:p>
        </w:tc>
        <w:tc>
          <w:tcPr>
            <w:tcW w:w="1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5,574</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8,695</w:t>
            </w:r>
          </w:p>
        </w:tc>
        <w:tc>
          <w:tcPr>
            <w:tcW w:w="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5,747</w:t>
            </w:r>
          </w:p>
        </w:tc>
      </w:tr>
      <w:tr>
        <w:trPr>
          <w:trHeight w:val="203"/>
        </w:trPr>
        <w:tc>
          <w:tcPr>
            <w:tcW w:w="2900" w:type="dxa"/>
            <w:vAlign w:val="bottom"/>
          </w:tcPr>
          <w:p>
            <w:pPr>
              <w:spacing w:after="0"/>
              <w:rPr>
                <w:sz w:val="17"/>
                <w:szCs w:val="17"/>
                <w:color w:val="auto"/>
              </w:rPr>
            </w:pPr>
          </w:p>
        </w:tc>
        <w:tc>
          <w:tcPr>
            <w:tcW w:w="1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Identifiable assets:</w:t>
            </w: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Utility services</w:t>
            </w:r>
          </w:p>
        </w:tc>
        <w:tc>
          <w:tcPr>
            <w:tcW w:w="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17,405</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17,726</w:t>
            </w:r>
          </w:p>
        </w:tc>
        <w:tc>
          <w:tcPr>
            <w:tcW w:w="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6,658</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construction</w:t>
            </w:r>
          </w:p>
        </w:tc>
        <w:tc>
          <w:tcPr>
            <w:tcW w:w="84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400</w:t>
            </w:r>
          </w:p>
        </w:tc>
        <w:tc>
          <w:tcPr>
            <w:tcW w:w="5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3,065</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2,738</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Corporate</w:t>
            </w:r>
          </w:p>
        </w:tc>
        <w:tc>
          <w:tcPr>
            <w:tcW w:w="84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3,520</w:t>
            </w:r>
          </w:p>
        </w:tc>
        <w:tc>
          <w:tcPr>
            <w:tcW w:w="5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2,651</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2,337</w:t>
            </w:r>
          </w:p>
        </w:tc>
      </w:tr>
      <w:tr>
        <w:trPr>
          <w:trHeight w:val="203"/>
        </w:trPr>
        <w:tc>
          <w:tcPr>
            <w:tcW w:w="2900" w:type="dxa"/>
            <w:vAlign w:val="bottom"/>
          </w:tcPr>
          <w:p>
            <w:pPr>
              <w:spacing w:after="0"/>
              <w:rPr>
                <w:sz w:val="17"/>
                <w:szCs w:val="17"/>
                <w:color w:val="auto"/>
              </w:rPr>
            </w:pPr>
          </w:p>
        </w:tc>
        <w:tc>
          <w:tcPr>
            <w:tcW w:w="1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21,325</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23,442</w:t>
            </w:r>
          </w:p>
        </w:tc>
        <w:tc>
          <w:tcPr>
            <w:tcW w:w="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11,733</w:t>
            </w:r>
          </w:p>
        </w:tc>
      </w:tr>
      <w:tr>
        <w:trPr>
          <w:trHeight w:val="203"/>
        </w:trPr>
        <w:tc>
          <w:tcPr>
            <w:tcW w:w="2900" w:type="dxa"/>
            <w:vAlign w:val="bottom"/>
          </w:tcPr>
          <w:p>
            <w:pPr>
              <w:spacing w:after="0"/>
              <w:rPr>
                <w:sz w:val="17"/>
                <w:szCs w:val="17"/>
                <w:color w:val="auto"/>
              </w:rPr>
            </w:pPr>
          </w:p>
        </w:tc>
        <w:tc>
          <w:tcPr>
            <w:tcW w:w="1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expense:</w:t>
            </w: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Utility services</w:t>
            </w:r>
          </w:p>
        </w:tc>
        <w:tc>
          <w:tcPr>
            <w:tcW w:w="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609</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371</w:t>
            </w:r>
          </w:p>
        </w:tc>
        <w:tc>
          <w:tcPr>
            <w:tcW w:w="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359</w:t>
            </w:r>
          </w:p>
        </w:tc>
      </w:tr>
      <w:tr>
        <w:trPr>
          <w:trHeight w:val="203"/>
        </w:trPr>
        <w:tc>
          <w:tcPr>
            <w:tcW w:w="2900" w:type="dxa"/>
            <w:vAlign w:val="bottom"/>
          </w:tcPr>
          <w:p>
            <w:pPr>
              <w:spacing w:after="0"/>
              <w:rPr>
                <w:sz w:val="17"/>
                <w:szCs w:val="17"/>
                <w:color w:val="auto"/>
              </w:rPr>
            </w:pPr>
          </w:p>
        </w:tc>
        <w:tc>
          <w:tcPr>
            <w:tcW w:w="1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609</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371</w:t>
            </w:r>
          </w:p>
        </w:tc>
        <w:tc>
          <w:tcPr>
            <w:tcW w:w="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359</w:t>
            </w:r>
          </w:p>
        </w:tc>
      </w:tr>
      <w:tr>
        <w:trPr>
          <w:trHeight w:val="203"/>
        </w:trPr>
        <w:tc>
          <w:tcPr>
            <w:tcW w:w="2900" w:type="dxa"/>
            <w:vAlign w:val="bottom"/>
          </w:tcPr>
          <w:p>
            <w:pPr>
              <w:spacing w:after="0"/>
              <w:rPr>
                <w:sz w:val="17"/>
                <w:szCs w:val="17"/>
                <w:color w:val="auto"/>
              </w:rPr>
            </w:pPr>
          </w:p>
        </w:tc>
        <w:tc>
          <w:tcPr>
            <w:tcW w:w="1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Utility services</w:t>
            </w:r>
          </w:p>
        </w:tc>
        <w:tc>
          <w:tcPr>
            <w:tcW w:w="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2,036</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1,740</w:t>
            </w:r>
          </w:p>
        </w:tc>
        <w:tc>
          <w:tcPr>
            <w:tcW w:w="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327</w:t>
            </w:r>
          </w:p>
        </w:tc>
      </w:tr>
      <w:tr>
        <w:trPr>
          <w:trHeight w:val="203"/>
        </w:trPr>
        <w:tc>
          <w:tcPr>
            <w:tcW w:w="2900" w:type="dxa"/>
            <w:vAlign w:val="bottom"/>
          </w:tcPr>
          <w:p>
            <w:pPr>
              <w:spacing w:after="0"/>
              <w:rPr>
                <w:sz w:val="17"/>
                <w:szCs w:val="17"/>
                <w:color w:val="auto"/>
              </w:rPr>
            </w:pPr>
          </w:p>
        </w:tc>
        <w:tc>
          <w:tcPr>
            <w:tcW w:w="1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2,036</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1,740</w:t>
            </w:r>
          </w:p>
        </w:tc>
        <w:tc>
          <w:tcPr>
            <w:tcW w:w="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327</w:t>
            </w:r>
          </w:p>
        </w:tc>
      </w:tr>
      <w:tr>
        <w:trPr>
          <w:trHeight w:val="203"/>
        </w:trPr>
        <w:tc>
          <w:tcPr>
            <w:tcW w:w="2900" w:type="dxa"/>
            <w:vAlign w:val="bottom"/>
          </w:tcPr>
          <w:p>
            <w:pPr>
              <w:spacing w:after="0"/>
              <w:rPr>
                <w:sz w:val="17"/>
                <w:szCs w:val="17"/>
                <w:color w:val="auto"/>
              </w:rPr>
            </w:pPr>
          </w:p>
        </w:tc>
        <w:tc>
          <w:tcPr>
            <w:tcW w:w="1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Group's operations are organized into two principal business segments - utility services and general construction. Income from operations consists of income before equity in earnings of unconsolidated joint ventures and minority interest in earnings of consolidated joint venture. There are no material intersegment sales or transfers. Identifiable assets are those assets used for operations in each business segment. Corporate assets are principally invested cash and investments in unconsolidated joint ventures.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Page 18 of 31</w:t>
      </w:r>
    </w:p>
    <w:p>
      <w:pPr>
        <w:sectPr>
          <w:pgSz w:w="11900" w:h="16838" w:orient="portrait"/>
          <w:cols w:equalWidth="0" w:num="1">
            <w:col w:w="10219"/>
          </w:cols>
          <w:pgMar w:left="240" w:top="514"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 COMMITMENTS AND CONTINGENCIES: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connection with certain construction contracts, the Company has signed certain agreements of indemnity in the aggregate amount of approximately $20 million, of which approximately $9 million relate to the uncompleted portion of contracts in process. These agreements are to secure the fulfillment of obligations and performance of the related contracts. Management believes that no losses will be sustained from these agreements.</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Federal, state and local laws and regulations govern the Group's operation of underground fuel storage tanks. The Group is in the process of removing, restoring and upgrading these tanks, as required by the applicable laws, and has identified certain tanks and surrounding soil which will require remedial cleanups.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the terms of the contract with Metro-Dade County, the Group has provided a warranty to the County with respect to materials and workmanship for a one year period from the date of substantial completion, as defined in the contract. In management's opinion, no significant losses are expected as a result of this warranty.</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Jorge Gamez, as Personal Representative of the Estate of Jorge A. Gamez, deceased, vs. Church &amp; Tower, Inc., a Florida corporation, et al. Civil Action 93-07318 CA 20, filed in the Circuit Court of the 11th Judicial Circuit in and for Dade County, Florida on March 22, 1993, as amended on April 20, 1994, to include MasTec, Inc. The claim alleges that a Group employee was negligent in the operation of a truck and trailer combination which resulted in a death. Although no amounts are stated in the preliminary case filings, the plaintiff has made a demand for $7.2 million.</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During the year ended December 31, 1993, the Group provided approximately $2.3 million, net of $1 million of insurance coverage, related to the above matters. This amount has been included in other current liabilities in the accompanying combined balance sheet at December 31, 1993. Management believes, based on consultations with its legal and other advisors, that the amount provided is adequate to cover the estimated losses expected to be incurred in connection with these matters.</w:t>
      </w:r>
    </w:p>
    <w:p>
      <w:pPr>
        <w:spacing w:after="0" w:line="211"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In November 1993, Albert H. Kahn (the "plaintiff") filed a class action and derivative complaint, Civil Action 13248, (the "1993 Complaint") against Burnup, the members of Burnup's Board of Directors, CT, CT Florida, Jorge Mas Canosa, Jorge Mas and Juan Carlos Mas (CT, CT Florida, Jorge Mas Canosa, Jorge Mas and Juan Carlos Mas are referred to as the "CT Defendants"). In December 1993, plaintiff amended the 1993 Complaint ("1993 Amended Complaint").</w:t>
      </w:r>
    </w:p>
    <w:p>
      <w:pPr>
        <w:spacing w:after="0" w:line="1" w:lineRule="exact"/>
        <w:rPr>
          <w:sz w:val="20"/>
          <w:szCs w:val="20"/>
          <w:color w:val="auto"/>
        </w:rPr>
      </w:pPr>
    </w:p>
    <w:p>
      <w:pPr>
        <w:jc w:val="center"/>
        <w:ind w:right="1999"/>
        <w:spacing w:after="0" w:line="268" w:lineRule="auto"/>
        <w:rPr>
          <w:sz w:val="20"/>
          <w:szCs w:val="20"/>
          <w:color w:val="auto"/>
        </w:rPr>
      </w:pPr>
      <w:r>
        <w:rPr>
          <w:rFonts w:ascii="Courier New" w:cs="Courier New" w:eastAsia="Courier New" w:hAnsi="Courier New"/>
          <w:sz w:val="16"/>
          <w:szCs w:val="16"/>
          <w:color w:val="auto"/>
        </w:rPr>
        <w:t>The 1993 Amended Complaint alleges, among other things, that (i) the Burnup's Board of Directors and National Beverage Corp. ("NBC"), as Burnup's largest stockholder at the time, breached their respective fiduciary duties by approv-the acquisition which, according to the allegations of the 1993 Complaint,</w:t>
      </w:r>
    </w:p>
    <w:p>
      <w:pPr>
        <w:spacing w:after="0" w:line="1"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benefits Mr. Caporella at the expense of Burnup's stockholders, (ii) the CT Defendants had knowledge of the fiduciary duties owed by NBC and Burnup's Board</w:t>
      </w:r>
    </w:p>
    <w:p>
      <w:pPr>
        <w:spacing w:after="0" w:line="164"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Page 19 of 31</w:t>
      </w:r>
    </w:p>
    <w:p>
      <w:pPr>
        <w:sectPr>
          <w:pgSz w:w="11900" w:h="16838" w:orient="portrait"/>
          <w:cols w:equalWidth="0" w:num="1">
            <w:col w:w="10219"/>
          </w:cols>
          <w:pgMar w:left="240" w:top="919"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of Directors and knowingly and substantially participated in their breaches thereof, (iii) the Special Transaction Committee of Burnup's Board of Directors which approved the Acquisition Agreement and Redemption was not independent and, as such, was not in accordance with the 1990 Settlement, (iv) Burnup's Board of Directors breached its fiduciary duties by failing to take an active and direct role in the sale of the Company and failing to ensure the maximization of stockholder value in the sale of control of the company; and (v) Burnup's Board of Directors and NBC, as Burnup's largest stockholder, breached their respective fiduciary duties by failing to disclose completely all material information regarding the acquisition. The 1993 Complaint also claims derivatively that each member of Burnup's Board of Directors engaged in mismanagement, waste and breach of their fiduciary duties in managing Burnup's affairs. On November 29, 1993, plaintiff filed a motion for an order preliminarily and permanently enjoining the acquisition. On March 7, 1994, the court heard arguments with respect to plaintiff's motion to enjoin the acquisition and on March 10, 1994, the court denied plaintiff's request for injunctive relief.</w:t>
      </w: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Company believes that the allegations in the 1993 Complaint and the 1993 Amended Complaint are without merit, and intends to vigorously defend this action.</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Effective January 1994, the Group entered into a non-cancelable operating lease for its office facilities. Future minimum rentals under the lease agreement are $123,900 for 1994 and 1995.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 CONSOLIDATED PRO FORMA FINANCIAL INFORMATION (UNAUDITED):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following unaudited pro forma consolidated statements of income of Burnup and the CT Group for the years ended December 31, 1992 and 1993 are presented as if the acquisition had occurred on January 1, 1992. The unaudited pro forma consolidated balance sheet is presented as if the acquisition had occurred on December 31, 1993.</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pro forma data is presented for informational purposes only and may not be indicative of the future results of operations or financial position of MasTec, or what the results of operations or financial position of MasTec would have been if the acquisition had occurred on the dates set forth.</w:t>
      </w:r>
    </w:p>
    <w:p>
      <w:pPr>
        <w:spacing w:after="0" w:line="207"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These pro forma consolidated financial statements should be read in conjunction with the historical combined financial statements and notes thereto of the CT Group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Page 20 of 31</w:t>
      </w:r>
    </w:p>
    <w:p>
      <w:pPr>
        <w:sectPr>
          <w:pgSz w:w="11900" w:h="16838" w:orient="portrait"/>
          <w:cols w:equalWidth="0" w:num="1">
            <w:col w:w="10219"/>
          </w:cols>
          <w:pgMar w:left="240" w:top="919" w:right="1440" w:bottom="1440" w:gutter="0" w:footer="0" w:header="0"/>
        </w:sectPr>
      </w:pPr>
    </w:p>
    <w:bookmarkStart w:id="20" w:name="page21"/>
    <w:bookmarkEnd w:id="20"/>
    <w:p>
      <w:pPr>
        <w:ind w:right="1999"/>
        <w:spacing w:after="0" w:line="270" w:lineRule="auto"/>
        <w:rPr>
          <w:sz w:val="20"/>
          <w:szCs w:val="20"/>
          <w:color w:val="auto"/>
        </w:rPr>
      </w:pPr>
      <w:r>
        <w:rPr>
          <w:rFonts w:ascii="Courier New" w:cs="Courier New" w:eastAsia="Courier New" w:hAnsi="Courier New"/>
          <w:sz w:val="16"/>
          <w:szCs w:val="16"/>
          <w:color w:val="auto"/>
        </w:rPr>
        <w:t>As discussed in Note 1, the acquisition will be treated as a "reverse acquisition" for financial reporting purposes, with the CT Group considered to be the acquiring entity. As a result, the pro forma adjustments include adjustments to reflect the estimated fair values of the net assets of Burnup; the capital structure has been adjusted to reflect the outstanding capital structure of the surviving legal entity. MasTec has not yet finalized the allocation of the purchase price but believes that a substantial portion of the purchase price ultimately will be allocated to property and real estate investments. The purchase accounting adjustments have been made assuming a fair value of $5.60 per share for Burnup's Common Stock, which was determined in accordance with Accounting Principles Board Opinion No. 16 "Business Combinations" using the average trading price for the period from the date the acquisition was announced to the date of consummation (March 11, 1994). The fair value approximates the price determined by the CT Group and Burnup in arriving at the number of shares to be issued.</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unaudited pro forma consolidated financial statements are derived from</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historical financial statements of Burnup and the CT Group. The pro forma consolidated balance sheet combines Burnup's January 31, 1994 balance</w:t>
      </w:r>
    </w:p>
    <w:p>
      <w:pPr>
        <w:spacing w:after="0" w:line="6"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sheet with the CT Group's December 31, 1993 balance sheet. The pro forma consolidated statements of income combine Burnup's historical statements of operations for the twelve months ended January 31, 1994 and 1993 with the CT Group's historical statements of income for the fiscal year ended December 31, 1993 and 1992,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Page 21 of 31</w:t>
      </w:r>
    </w:p>
    <w:p>
      <w:pPr>
        <w:sectPr>
          <w:pgSz w:w="11900" w:h="16838" w:orient="portrait"/>
          <w:cols w:equalWidth="0" w:num="1">
            <w:col w:w="10219"/>
          </w:cols>
          <w:pgMar w:left="240" w:top="723"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MasTec, Inc.</w:t>
      </w:r>
    </w:p>
    <w:p>
      <w:pPr>
        <w:spacing w:after="0" w:line="238" w:lineRule="auto"/>
        <w:rPr>
          <w:sz w:val="20"/>
          <w:szCs w:val="20"/>
          <w:color w:val="auto"/>
        </w:rPr>
      </w:pPr>
      <w:r>
        <w:rPr>
          <w:rFonts w:ascii="Courier New" w:cs="Courier New" w:eastAsia="Courier New" w:hAnsi="Courier New"/>
          <w:sz w:val="18"/>
          <w:szCs w:val="18"/>
          <w:color w:val="auto"/>
        </w:rPr>
        <w:t>PROFORMA CONSOLIDATED BALANCE SHEET (UNAUDITED)</w:t>
      </w:r>
    </w:p>
    <w:p>
      <w:pPr>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17"/>
                <w:szCs w:val="17"/>
                <w:color w:val="auto"/>
              </w:rPr>
            </w:pPr>
          </w:p>
        </w:tc>
        <w:tc>
          <w:tcPr>
            <w:tcW w:w="460" w:type="dxa"/>
            <w:vAlign w:val="bottom"/>
          </w:tcPr>
          <w:p>
            <w:pPr>
              <w:ind w:left="260"/>
              <w:spacing w:after="0"/>
              <w:rPr>
                <w:sz w:val="20"/>
                <w:szCs w:val="20"/>
                <w:color w:val="auto"/>
              </w:rPr>
            </w:pPr>
            <w:r>
              <w:rPr>
                <w:rFonts w:ascii="Courier New" w:cs="Courier New" w:eastAsia="Courier New" w:hAnsi="Courier New"/>
                <w:sz w:val="18"/>
                <w:szCs w:val="18"/>
                <w:color w:val="auto"/>
                <w:w w:val="83"/>
              </w:rPr>
              <w:t>CT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GROUP</w:t>
            </w:r>
          </w:p>
        </w:tc>
        <w:tc>
          <w:tcPr>
            <w:tcW w:w="160" w:type="dxa"/>
            <w:vAlign w:val="bottom"/>
          </w:tcPr>
          <w:p>
            <w:pPr>
              <w:spacing w:after="0"/>
              <w:rPr>
                <w:sz w:val="17"/>
                <w:szCs w:val="17"/>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BURNUP</w:t>
            </w: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December</w:t>
            </w:r>
          </w:p>
        </w:tc>
        <w:tc>
          <w:tcPr>
            <w:tcW w:w="16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January</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 FORMA</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CONSOLIDATED</w:t>
            </w:r>
          </w:p>
        </w:tc>
      </w:tr>
      <w:tr>
        <w:trPr>
          <w:trHeight w:val="203"/>
        </w:trPr>
        <w:tc>
          <w:tcPr>
            <w:tcW w:w="3020" w:type="dxa"/>
            <w:vAlign w:val="bottom"/>
          </w:tcPr>
          <w:p>
            <w:pPr>
              <w:spacing w:after="0"/>
              <w:rPr>
                <w:sz w:val="17"/>
                <w:szCs w:val="17"/>
                <w:color w:val="auto"/>
              </w:rPr>
            </w:pPr>
          </w:p>
        </w:tc>
        <w:tc>
          <w:tcPr>
            <w:tcW w:w="1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31, 1993</w:t>
            </w:r>
          </w:p>
        </w:tc>
        <w:tc>
          <w:tcPr>
            <w:tcW w:w="16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31, 1994</w:t>
            </w:r>
          </w:p>
        </w:tc>
        <w:tc>
          <w:tcPr>
            <w:tcW w:w="18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ADJUSTMENTS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PROFORMA</w:t>
            </w:r>
          </w:p>
        </w:tc>
      </w:tr>
      <w:tr>
        <w:trPr>
          <w:trHeight w:val="203"/>
        </w:trPr>
        <w:tc>
          <w:tcPr>
            <w:tcW w:w="3020" w:type="dxa"/>
            <w:vAlign w:val="bottom"/>
          </w:tcPr>
          <w:p>
            <w:pPr>
              <w:spacing w:after="0"/>
              <w:rPr>
                <w:sz w:val="17"/>
                <w:szCs w:val="17"/>
                <w:color w:val="auto"/>
              </w:rPr>
            </w:pPr>
          </w:p>
        </w:tc>
        <w:tc>
          <w:tcPr>
            <w:tcW w:w="1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c>
          <w:tcPr>
            <w:tcW w:w="18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Cash and Cash Equivalents</w:t>
            </w:r>
          </w:p>
        </w:tc>
        <w:tc>
          <w:tcPr>
            <w:tcW w:w="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8,930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6,605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(227)</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15,308</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Receivable-Net</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Unbilled Revenues</w:t>
            </w:r>
          </w:p>
        </w:tc>
        <w:tc>
          <w:tcPr>
            <w:tcW w:w="4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6,751</w:t>
            </w:r>
          </w:p>
        </w:tc>
        <w:tc>
          <w:tcPr>
            <w:tcW w:w="1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18,369</w:t>
            </w: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25,120</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4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186</w:t>
            </w:r>
          </w:p>
        </w:tc>
        <w:tc>
          <w:tcPr>
            <w:tcW w:w="1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14,500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12,186</w:t>
            </w:r>
          </w:p>
        </w:tc>
      </w:tr>
      <w:tr>
        <w:trPr>
          <w:trHeight w:val="203"/>
        </w:trPr>
        <w:tc>
          <w:tcPr>
            <w:tcW w:w="3020" w:type="dxa"/>
            <w:vAlign w:val="bottom"/>
          </w:tcPr>
          <w:p>
            <w:pPr>
              <w:spacing w:after="0"/>
              <w:rPr>
                <w:sz w:val="17"/>
                <w:szCs w:val="17"/>
                <w:color w:val="auto"/>
              </w:rPr>
            </w:pPr>
          </w:p>
        </w:tc>
        <w:tc>
          <w:tcPr>
            <w:tcW w:w="236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 ----------</w:t>
            </w:r>
          </w:p>
        </w:tc>
        <w:tc>
          <w:tcPr>
            <w:tcW w:w="18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15,867</w:t>
            </w:r>
          </w:p>
        </w:tc>
        <w:tc>
          <w:tcPr>
            <w:tcW w:w="1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39,474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(2,727)</w:t>
            </w:r>
          </w:p>
        </w:tc>
        <w:tc>
          <w:tcPr>
            <w:tcW w:w="6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52,614</w:t>
            </w:r>
          </w:p>
        </w:tc>
      </w:tr>
      <w:tr>
        <w:trPr>
          <w:trHeight w:val="203"/>
        </w:trPr>
        <w:tc>
          <w:tcPr>
            <w:tcW w:w="3020" w:type="dxa"/>
            <w:vAlign w:val="bottom"/>
          </w:tcPr>
          <w:p>
            <w:pPr>
              <w:spacing w:after="0"/>
              <w:rPr>
                <w:sz w:val="17"/>
                <w:szCs w:val="17"/>
                <w:color w:val="auto"/>
              </w:rPr>
            </w:pPr>
          </w:p>
        </w:tc>
        <w:tc>
          <w:tcPr>
            <w:tcW w:w="236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 ----------</w:t>
            </w:r>
          </w:p>
        </w:tc>
        <w:tc>
          <w:tcPr>
            <w:tcW w:w="18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608"/>
        </w:trPr>
        <w:tc>
          <w:tcPr>
            <w:tcW w:w="3020" w:type="dxa"/>
            <w:vAlign w:val="bottom"/>
          </w:tcPr>
          <w:p>
            <w:pPr>
              <w:spacing w:after="0"/>
              <w:rPr>
                <w:sz w:val="20"/>
                <w:szCs w:val="20"/>
                <w:color w:val="auto"/>
              </w:rPr>
            </w:pPr>
            <w:r>
              <w:rPr>
                <w:rFonts w:ascii="Courier New" w:cs="Courier New" w:eastAsia="Courier New" w:hAnsi="Courier New"/>
                <w:sz w:val="18"/>
                <w:szCs w:val="18"/>
                <w:color w:val="auto"/>
              </w:rPr>
              <w:t>Investment in NBC</w:t>
            </w:r>
          </w:p>
        </w:tc>
        <w:tc>
          <w:tcPr>
            <w:tcW w:w="460" w:type="dxa"/>
            <w:vAlign w:val="bottom"/>
          </w:tcPr>
          <w:p>
            <w:pPr>
              <w:spacing w:after="0"/>
              <w:rPr>
                <w:sz w:val="24"/>
                <w:szCs w:val="24"/>
                <w:color w:val="auto"/>
              </w:rPr>
            </w:pP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16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28,495</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(17,401)</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(1)(3)</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11,094</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Property-Net</w:t>
            </w:r>
          </w:p>
        </w:tc>
        <w:tc>
          <w:tcPr>
            <w:tcW w:w="4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4,632</w:t>
            </w:r>
          </w:p>
        </w:tc>
        <w:tc>
          <w:tcPr>
            <w:tcW w:w="1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16,875</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22,541</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(3)</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44,048</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4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3,174</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665</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(3)</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3,839</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4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826</w:t>
            </w:r>
          </w:p>
        </w:tc>
        <w:tc>
          <w:tcPr>
            <w:tcW w:w="1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13,780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10,911</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(3)</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25,517</w:t>
            </w:r>
          </w:p>
        </w:tc>
      </w:tr>
      <w:tr>
        <w:trPr>
          <w:trHeight w:val="203"/>
        </w:trPr>
        <w:tc>
          <w:tcPr>
            <w:tcW w:w="3020" w:type="dxa"/>
            <w:vAlign w:val="bottom"/>
          </w:tcPr>
          <w:p>
            <w:pPr>
              <w:spacing w:after="0"/>
              <w:rPr>
                <w:sz w:val="17"/>
                <w:szCs w:val="17"/>
                <w:color w:val="auto"/>
              </w:rPr>
            </w:pPr>
          </w:p>
        </w:tc>
        <w:tc>
          <w:tcPr>
            <w:tcW w:w="236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 ----------</w:t>
            </w:r>
          </w:p>
        </w:tc>
        <w:tc>
          <w:tcPr>
            <w:tcW w:w="18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608"/>
        </w:trPr>
        <w:tc>
          <w:tcPr>
            <w:tcW w:w="3020" w:type="dxa"/>
            <w:vAlign w:val="bottom"/>
          </w:tcPr>
          <w:p>
            <w:pPr>
              <w:ind w:left="320"/>
              <w:spacing w:after="0"/>
              <w:rPr>
                <w:sz w:val="20"/>
                <w:szCs w:val="20"/>
                <w:color w:val="auto"/>
              </w:rPr>
            </w:pPr>
            <w:r>
              <w:rPr>
                <w:rFonts w:ascii="Courier New" w:cs="Courier New" w:eastAsia="Courier New" w:hAnsi="Courier New"/>
                <w:sz w:val="18"/>
                <w:szCs w:val="18"/>
                <w:color w:val="auto"/>
              </w:rPr>
              <w:t>TOTAL ASSETS</w:t>
            </w:r>
          </w:p>
        </w:tc>
        <w:tc>
          <w:tcPr>
            <w:tcW w:w="12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$ 21,325</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101,798</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$ 13,989</w:t>
            </w:r>
          </w:p>
        </w:tc>
        <w:tc>
          <w:tcPr>
            <w:tcW w:w="64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$ 137,112</w:t>
            </w:r>
          </w:p>
        </w:tc>
      </w:tr>
      <w:tr>
        <w:trPr>
          <w:trHeight w:val="203"/>
        </w:trPr>
        <w:tc>
          <w:tcPr>
            <w:tcW w:w="3020" w:type="dxa"/>
            <w:vAlign w:val="bottom"/>
          </w:tcPr>
          <w:p>
            <w:pPr>
              <w:spacing w:after="0"/>
              <w:rPr>
                <w:sz w:val="17"/>
                <w:szCs w:val="17"/>
                <w:color w:val="auto"/>
              </w:rPr>
            </w:pPr>
          </w:p>
        </w:tc>
        <w:tc>
          <w:tcPr>
            <w:tcW w:w="236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 ==========</w:t>
            </w:r>
          </w:p>
        </w:tc>
        <w:tc>
          <w:tcPr>
            <w:tcW w:w="18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Page 22 of 31</w:t>
      </w:r>
    </w:p>
    <w:p>
      <w:pPr>
        <w:sectPr>
          <w:pgSz w:w="11900" w:h="16838" w:orient="portrait"/>
          <w:cols w:equalWidth="0" w:num="1">
            <w:col w:w="10219"/>
          </w:cols>
          <w:pgMar w:left="240" w:top="919"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MasTec, Inc.</w:t>
      </w:r>
    </w:p>
    <w:p>
      <w:pPr>
        <w:spacing w:after="0" w:line="238" w:lineRule="auto"/>
        <w:rPr>
          <w:sz w:val="20"/>
          <w:szCs w:val="20"/>
          <w:color w:val="auto"/>
        </w:rPr>
      </w:pPr>
      <w:r>
        <w:rPr>
          <w:rFonts w:ascii="Courier New" w:cs="Courier New" w:eastAsia="Courier New" w:hAnsi="Courier New"/>
          <w:sz w:val="18"/>
          <w:szCs w:val="18"/>
          <w:color w:val="auto"/>
        </w:rPr>
        <w:t>PRO FORMA CONSOLIDATED BALANCE SHEET (UNAUDITED)</w:t>
      </w:r>
    </w:p>
    <w:p>
      <w:pPr>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ind w:left="3160"/>
              <w:spacing w:after="0"/>
              <w:rPr>
                <w:sz w:val="20"/>
                <w:szCs w:val="20"/>
                <w:color w:val="auto"/>
              </w:rPr>
            </w:pPr>
            <w:r>
              <w:rPr>
                <w:rFonts w:ascii="Courier New" w:cs="Courier New" w:eastAsia="Courier New" w:hAnsi="Courier New"/>
                <w:sz w:val="18"/>
                <w:szCs w:val="18"/>
                <w:color w:val="auto"/>
                <w:w w:val="92"/>
              </w:rPr>
              <w:t>CT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GROUP</w:t>
            </w:r>
          </w:p>
        </w:tc>
        <w:tc>
          <w:tcPr>
            <w:tcW w:w="220" w:type="dxa"/>
            <w:vAlign w:val="bottom"/>
          </w:tcPr>
          <w:p>
            <w:pPr>
              <w:spacing w:after="0"/>
              <w:rPr>
                <w:sz w:val="17"/>
                <w:szCs w:val="17"/>
                <w:color w:val="auto"/>
              </w:rPr>
            </w:pPr>
          </w:p>
        </w:tc>
        <w:tc>
          <w:tcPr>
            <w:tcW w:w="940" w:type="dxa"/>
            <w:vAlign w:val="bottom"/>
          </w:tcPr>
          <w:p>
            <w:pPr>
              <w:ind w:left="60"/>
              <w:spacing w:after="0"/>
              <w:rPr>
                <w:sz w:val="20"/>
                <w:szCs w:val="20"/>
                <w:color w:val="auto"/>
              </w:rPr>
            </w:pPr>
            <w:r>
              <w:rPr>
                <w:rFonts w:ascii="Courier New" w:cs="Courier New" w:eastAsia="Courier New" w:hAnsi="Courier New"/>
                <w:sz w:val="18"/>
                <w:szCs w:val="18"/>
                <w:color w:val="auto"/>
              </w:rPr>
              <w:t>BURNUP</w:t>
            </w: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160" w:type="dxa"/>
            <w:vAlign w:val="bottom"/>
            <w:gridSpan w:val="2"/>
          </w:tcPr>
          <w:p>
            <w:pPr>
              <w:ind w:left="3160"/>
              <w:spacing w:after="0" w:line="203" w:lineRule="exact"/>
              <w:rPr>
                <w:sz w:val="20"/>
                <w:szCs w:val="20"/>
                <w:color w:val="auto"/>
              </w:rPr>
            </w:pPr>
            <w:r>
              <w:rPr>
                <w:rFonts w:ascii="Courier New" w:cs="Courier New" w:eastAsia="Courier New" w:hAnsi="Courier New"/>
                <w:sz w:val="18"/>
                <w:szCs w:val="18"/>
                <w:color w:val="auto"/>
              </w:rPr>
              <w:t>December</w:t>
            </w:r>
          </w:p>
        </w:tc>
        <w:tc>
          <w:tcPr>
            <w:tcW w:w="220" w:type="dxa"/>
            <w:vAlign w:val="bottom"/>
          </w:tcPr>
          <w:p>
            <w:pPr>
              <w:spacing w:after="0"/>
              <w:rPr>
                <w:sz w:val="17"/>
                <w:szCs w:val="17"/>
                <w:color w:val="auto"/>
              </w:rPr>
            </w:pP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January</w:t>
            </w:r>
          </w:p>
        </w:tc>
        <w:tc>
          <w:tcPr>
            <w:tcW w:w="12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4"/>
              </w:rPr>
              <w:t>PRO FORMA</w:t>
            </w: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CONSOLIDATED</w:t>
            </w:r>
          </w:p>
        </w:tc>
      </w:tr>
      <w:tr>
        <w:trPr>
          <w:trHeight w:val="203"/>
        </w:trPr>
        <w:tc>
          <w:tcPr>
            <w:tcW w:w="41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31, 1993</w:t>
            </w:r>
          </w:p>
        </w:tc>
        <w:tc>
          <w:tcPr>
            <w:tcW w:w="220" w:type="dxa"/>
            <w:vAlign w:val="bottom"/>
          </w:tcPr>
          <w:p>
            <w:pPr>
              <w:spacing w:after="0"/>
              <w:rPr>
                <w:sz w:val="17"/>
                <w:szCs w:val="17"/>
                <w:color w:val="auto"/>
              </w:rPr>
            </w:pP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31, 1994</w:t>
            </w:r>
          </w:p>
        </w:tc>
        <w:tc>
          <w:tcPr>
            <w:tcW w:w="18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ADJUSTMENTS</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PROFORMA</w:t>
            </w:r>
          </w:p>
        </w:tc>
      </w:tr>
      <w:tr>
        <w:trPr>
          <w:trHeight w:val="203"/>
        </w:trPr>
        <w:tc>
          <w:tcPr>
            <w:tcW w:w="4160" w:type="dxa"/>
            <w:vAlign w:val="bottom"/>
            <w:gridSpan w:val="2"/>
          </w:tcPr>
          <w:p>
            <w:pPr>
              <w:ind w:left="316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w:t>
            </w:r>
          </w:p>
        </w:tc>
        <w:tc>
          <w:tcPr>
            <w:tcW w:w="18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Current Maturities of Debt   $</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1,008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3,930</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4,938</w:t>
            </w: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 and</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Expenses</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3,324</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11,815</w:t>
            </w:r>
          </w:p>
        </w:tc>
        <w:tc>
          <w:tcPr>
            <w:tcW w:w="18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5,092 (2)(5)</w:t>
            </w:r>
          </w:p>
        </w:tc>
        <w:tc>
          <w:tcPr>
            <w:tcW w:w="3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20,231</w:t>
            </w: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2,443</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6,421</w:t>
            </w: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8,864</w:t>
            </w:r>
          </w:p>
        </w:tc>
      </w:tr>
      <w:tr>
        <w:trPr>
          <w:trHeight w:val="203"/>
        </w:trPr>
        <w:tc>
          <w:tcPr>
            <w:tcW w:w="532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ind w:left="320"/>
              <w:spacing w:after="0"/>
              <w:rPr>
                <w:sz w:val="20"/>
                <w:szCs w:val="20"/>
                <w:color w:val="auto"/>
              </w:rPr>
            </w:pPr>
            <w:r>
              <w:rPr>
                <w:rFonts w:ascii="Courier New" w:cs="Courier New" w:eastAsia="Courier New" w:hAnsi="Courier New"/>
                <w:sz w:val="18"/>
                <w:szCs w:val="18"/>
                <w:color w:val="auto"/>
              </w:rPr>
              <w:t>Total Current Liabilities</w:t>
            </w:r>
          </w:p>
        </w:tc>
        <w:tc>
          <w:tcPr>
            <w:tcW w:w="7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6,775</w:t>
            </w:r>
          </w:p>
        </w:tc>
        <w:tc>
          <w:tcPr>
            <w:tcW w:w="22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22,166</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5,092</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34,033</w:t>
            </w: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Other Liabilities</w:t>
            </w:r>
          </w:p>
        </w:tc>
        <w:tc>
          <w:tcPr>
            <w:tcW w:w="7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28</w:t>
            </w:r>
          </w:p>
        </w:tc>
        <w:tc>
          <w:tcPr>
            <w:tcW w:w="22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13,616</w:t>
            </w:r>
          </w:p>
        </w:tc>
        <w:tc>
          <w:tcPr>
            <w:tcW w:w="2220" w:type="dxa"/>
            <w:vAlign w:val="bottom"/>
            <w:gridSpan w:val="3"/>
          </w:tcPr>
          <w:p>
            <w:pPr>
              <w:ind w:left="480"/>
              <w:spacing w:after="0"/>
              <w:rPr>
                <w:sz w:val="20"/>
                <w:szCs w:val="20"/>
                <w:color w:val="auto"/>
              </w:rPr>
            </w:pPr>
            <w:r>
              <w:rPr>
                <w:rFonts w:ascii="Courier New" w:cs="Courier New" w:eastAsia="Courier New" w:hAnsi="Courier New"/>
                <w:sz w:val="18"/>
                <w:szCs w:val="18"/>
                <w:color w:val="auto"/>
              </w:rPr>
              <w:t>9,517 (3)(4)(5)</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23,161</w:t>
            </w:r>
          </w:p>
        </w:tc>
      </w:tr>
      <w:tr>
        <w:trPr>
          <w:trHeight w:val="203"/>
        </w:trPr>
        <w:tc>
          <w:tcPr>
            <w:tcW w:w="532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7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3,579</w:t>
            </w:r>
          </w:p>
        </w:tc>
        <w:tc>
          <w:tcPr>
            <w:tcW w:w="22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32,028</w:t>
            </w: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35,607</w:t>
            </w:r>
          </w:p>
        </w:tc>
      </w:tr>
      <w:tr>
        <w:trPr>
          <w:trHeight w:val="203"/>
        </w:trPr>
        <w:tc>
          <w:tcPr>
            <w:tcW w:w="532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1,025</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1,602</w:t>
            </w:r>
          </w:p>
        </w:tc>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(1,024) (1)(2)</w:t>
            </w:r>
          </w:p>
        </w:tc>
        <w:tc>
          <w:tcPr>
            <w:tcW w:w="3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1,603</w:t>
            </w:r>
          </w:p>
        </w:tc>
      </w:tr>
      <w:tr>
        <w:trPr>
          <w:trHeight w:val="203"/>
        </w:trPr>
        <w:tc>
          <w:tcPr>
            <w:tcW w:w="3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Surplus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72,860</w:t>
            </w:r>
          </w:p>
        </w:tc>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(30,587) (1)(2)</w:t>
            </w:r>
          </w:p>
        </w:tc>
        <w:tc>
          <w:tcPr>
            <w:tcW w:w="3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42,273</w:t>
            </w:r>
          </w:p>
        </w:tc>
      </w:tr>
      <w:tr>
        <w:trPr>
          <w:trHeight w:val="203"/>
        </w:trPr>
        <w:tc>
          <w:tcPr>
            <w:tcW w:w="3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(5)(6)(7)</w:t>
            </w:r>
          </w:p>
        </w:tc>
        <w:tc>
          <w:tcPr>
            <w:tcW w:w="800" w:type="dxa"/>
            <w:vAlign w:val="bottom"/>
          </w:tcPr>
          <w:p>
            <w:pPr>
              <w:spacing w:after="0"/>
              <w:rPr>
                <w:sz w:val="17"/>
                <w:szCs w:val="17"/>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9,918</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33,666</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(43,149)</w:t>
            </w:r>
          </w:p>
        </w:tc>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(4)(6)(8)</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435</w:t>
            </w:r>
          </w:p>
        </w:tc>
      </w:tr>
      <w:tr>
        <w:trPr>
          <w:trHeight w:val="405"/>
        </w:trPr>
        <w:tc>
          <w:tcPr>
            <w:tcW w:w="3380" w:type="dxa"/>
            <w:vAlign w:val="bottom"/>
          </w:tcPr>
          <w:p>
            <w:pPr>
              <w:ind w:left="320"/>
              <w:spacing w:after="0"/>
              <w:rPr>
                <w:sz w:val="20"/>
                <w:szCs w:val="20"/>
                <w:color w:val="auto"/>
              </w:rPr>
            </w:pPr>
            <w:r>
              <w:rPr>
                <w:rFonts w:ascii="Courier New" w:cs="Courier New" w:eastAsia="Courier New" w:hAnsi="Courier New"/>
                <w:sz w:val="18"/>
                <w:szCs w:val="18"/>
                <w:color w:val="auto"/>
              </w:rPr>
              <w:t>Treasury Stock</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(74,140)</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74,140</w:t>
            </w:r>
          </w:p>
        </w:tc>
        <w:tc>
          <w:tcPr>
            <w:tcW w:w="64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3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w:t>
            </w:r>
          </w:p>
        </w:tc>
      </w:tr>
      <w:tr>
        <w:trPr>
          <w:trHeight w:val="203"/>
        </w:trPr>
        <w:tc>
          <w:tcPr>
            <w:tcW w:w="532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Total Shareholders' Equity</w:t>
            </w:r>
          </w:p>
        </w:tc>
        <w:tc>
          <w:tcPr>
            <w:tcW w:w="78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5"/>
              </w:rPr>
              <w:t>10,943</w:t>
            </w:r>
          </w:p>
        </w:tc>
        <w:tc>
          <w:tcPr>
            <w:tcW w:w="22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33,988</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(620)</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44,311</w:t>
            </w:r>
          </w:p>
        </w:tc>
      </w:tr>
      <w:tr>
        <w:trPr>
          <w:trHeight w:val="203"/>
        </w:trPr>
        <w:tc>
          <w:tcPr>
            <w:tcW w:w="532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16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$ 21,325</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101,798</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$ 13,989</w:t>
            </w:r>
          </w:p>
        </w:tc>
        <w:tc>
          <w:tcPr>
            <w:tcW w:w="640" w:type="dxa"/>
            <w:vAlign w:val="bottom"/>
          </w:tcPr>
          <w:p>
            <w:pPr>
              <w:spacing w:after="0"/>
              <w:rPr>
                <w:sz w:val="24"/>
                <w:szCs w:val="24"/>
                <w:color w:val="auto"/>
              </w:rPr>
            </w:pPr>
          </w:p>
        </w:tc>
        <w:tc>
          <w:tcPr>
            <w:tcW w:w="11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$ 137,112</w:t>
            </w:r>
          </w:p>
        </w:tc>
      </w:tr>
      <w:tr>
        <w:trPr>
          <w:trHeight w:val="203"/>
        </w:trPr>
        <w:tc>
          <w:tcPr>
            <w:tcW w:w="532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Page 23 of 31</w:t>
      </w:r>
    </w:p>
    <w:p>
      <w:pPr>
        <w:sectPr>
          <w:pgSz w:w="11900" w:h="16838" w:orient="portrait"/>
          <w:cols w:equalWidth="0" w:num="1">
            <w:col w:w="10219"/>
          </w:cols>
          <w:pgMar w:left="240" w:top="919"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ind w:left="3900"/>
        <w:spacing w:after="0" w:line="238" w:lineRule="auto"/>
        <w:rPr>
          <w:sz w:val="20"/>
          <w:szCs w:val="20"/>
          <w:color w:val="auto"/>
        </w:rPr>
      </w:pPr>
      <w:r>
        <w:rPr>
          <w:rFonts w:ascii="Courier New" w:cs="Courier New" w:eastAsia="Courier New" w:hAnsi="Courier New"/>
          <w:sz w:val="18"/>
          <w:szCs w:val="18"/>
          <w:color w:val="auto"/>
        </w:rPr>
        <w:t>MasTec, Inc.</w:t>
      </w:r>
    </w:p>
    <w:p>
      <w:pPr>
        <w:ind w:left="1900"/>
        <w:spacing w:after="0"/>
        <w:rPr>
          <w:sz w:val="20"/>
          <w:szCs w:val="20"/>
          <w:color w:val="auto"/>
        </w:rPr>
      </w:pPr>
      <w:r>
        <w:rPr>
          <w:rFonts w:ascii="Courier New" w:cs="Courier New" w:eastAsia="Courier New" w:hAnsi="Courier New"/>
          <w:sz w:val="18"/>
          <w:szCs w:val="18"/>
          <w:color w:val="auto"/>
        </w:rPr>
        <w:t>PROFORMA CONSOLIDATED STATEMENT OF INCOME (UNAUDITED)</w:t>
      </w:r>
    </w:p>
    <w:p>
      <w:pPr>
        <w:ind w:left="2640"/>
        <w:spacing w:after="0" w:line="237" w:lineRule="auto"/>
        <w:rPr>
          <w:sz w:val="20"/>
          <w:szCs w:val="20"/>
          <w:color w:val="auto"/>
        </w:rPr>
      </w:pPr>
      <w:r>
        <w:rPr>
          <w:rFonts w:ascii="Courier New" w:cs="Courier New" w:eastAsia="Courier New" w:hAnsi="Courier New"/>
          <w:sz w:val="18"/>
          <w:szCs w:val="18"/>
          <w:color w:val="auto"/>
        </w:rPr>
        <w:t>(In Thousands Except Per Share Amounts)</w:t>
      </w: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Courier New" w:cs="Courier New" w:eastAsia="Courier New" w:hAnsi="Courier New"/>
                <w:sz w:val="18"/>
                <w:szCs w:val="18"/>
                <w:color w:val="auto"/>
              </w:rPr>
              <w:t>TWELVE MONTHS ENDED</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31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8"/>
                <w:szCs w:val="18"/>
                <w:color w:val="auto"/>
                <w:w w:val="92"/>
              </w:rPr>
              <w:t>CT</w:t>
            </w:r>
          </w:p>
        </w:tc>
        <w:tc>
          <w:tcPr>
            <w:tcW w:w="780" w:type="dxa"/>
            <w:vAlign w:val="bottom"/>
          </w:tcPr>
          <w:p>
            <w:pPr>
              <w:ind w:left="200"/>
              <w:spacing w:after="0"/>
              <w:rPr>
                <w:sz w:val="20"/>
                <w:szCs w:val="20"/>
                <w:color w:val="auto"/>
              </w:rPr>
            </w:pPr>
            <w:r>
              <w:rPr>
                <w:rFonts w:ascii="Courier New" w:cs="Courier New" w:eastAsia="Courier New" w:hAnsi="Courier New"/>
                <w:sz w:val="18"/>
                <w:szCs w:val="18"/>
                <w:color w:val="auto"/>
              </w:rPr>
              <w:t>GROUP</w:t>
            </w:r>
          </w:p>
        </w:tc>
        <w:tc>
          <w:tcPr>
            <w:tcW w:w="220" w:type="dxa"/>
            <w:vAlign w:val="bottom"/>
          </w:tcPr>
          <w:p>
            <w:pPr>
              <w:spacing w:after="0"/>
              <w:rPr>
                <w:sz w:val="24"/>
                <w:szCs w:val="24"/>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BURNUP</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160" w:type="dxa"/>
            <w:vAlign w:val="bottom"/>
          </w:tcPr>
          <w:p>
            <w:pPr>
              <w:spacing w:after="0"/>
              <w:rPr>
                <w:sz w:val="17"/>
                <w:szCs w:val="17"/>
                <w:color w:val="auto"/>
              </w:rPr>
            </w:pPr>
          </w:p>
        </w:tc>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December</w:t>
            </w:r>
          </w:p>
        </w:tc>
        <w:tc>
          <w:tcPr>
            <w:tcW w:w="22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January</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 FORMA</w:t>
            </w:r>
          </w:p>
        </w:tc>
        <w:tc>
          <w:tcPr>
            <w:tcW w:w="420" w:type="dxa"/>
            <w:vAlign w:val="bottom"/>
          </w:tcPr>
          <w:p>
            <w:pPr>
              <w:spacing w:after="0"/>
              <w:rPr>
                <w:sz w:val="17"/>
                <w:szCs w:val="17"/>
                <w:color w:val="auto"/>
              </w:rPr>
            </w:pP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CONSOLIDATED</w:t>
            </w:r>
          </w:p>
        </w:tc>
      </w:tr>
      <w:tr>
        <w:trPr>
          <w:trHeight w:val="203"/>
        </w:trPr>
        <w:tc>
          <w:tcPr>
            <w:tcW w:w="3160" w:type="dxa"/>
            <w:vAlign w:val="bottom"/>
          </w:tcPr>
          <w:p>
            <w:pPr>
              <w:spacing w:after="0"/>
              <w:rPr>
                <w:sz w:val="17"/>
                <w:szCs w:val="17"/>
                <w:color w:val="auto"/>
              </w:rPr>
            </w:pPr>
          </w:p>
        </w:tc>
        <w:tc>
          <w:tcPr>
            <w:tcW w:w="10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31, 1993</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31, 1994</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ADJUSTMENTS</w:t>
            </w:r>
          </w:p>
        </w:tc>
        <w:tc>
          <w:tcPr>
            <w:tcW w:w="4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PROFORMA</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0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$ 44,683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137,732</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$ 182,415</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Costs of Revenues (exclusive</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depreciation and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amortization shown separately</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below)</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28,729</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125,378</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154,107</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9,870</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18,528</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28,398</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Depreciation and Amortization</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609</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5,169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4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3,328</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134</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4,047</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4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4,334</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Interest and Dividend Income</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(3,922)</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2,685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4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(1,552)</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81</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(1,247)</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(1,166)</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39,108</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147,953</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388</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187,449</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Income</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 Equity in Earnings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(Losses) of Unconsolidated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Joint Ventures and Minority</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in Earnings of</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Consolidated Joint Venture</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5,575</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(10,221)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(5,034)</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Provision (Credit) for Income</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(2,927)</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1,691 (4)</w:t>
            </w:r>
          </w:p>
        </w:tc>
        <w:tc>
          <w:tcPr>
            <w:tcW w:w="4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(1,236)</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Income (Loss) Before Equity in</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Earnings (Losses) of</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Unconsolidated Joint Ventures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Minority Interest in</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Earnings of Consolidated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Joint Venture</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5,575</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(7,294)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(2,079)</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(3,798)</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w w:val="96"/>
              </w:rPr>
              <w:t>Equity in Earnings (Losses) of</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Unconsolidated Joint Ventures</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1,187</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1,187</w:t>
            </w:r>
          </w:p>
        </w:tc>
      </w:tr>
      <w:tr>
        <w:trPr>
          <w:trHeight w:val="405"/>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w w:val="97"/>
              </w:rPr>
              <w:t>Minority Interest in Earnings of</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Consolidated Joint Venture</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6,752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(7,294)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(2,079)</w:t>
            </w:r>
          </w:p>
        </w:tc>
        <w:tc>
          <w:tcPr>
            <w:tcW w:w="420" w:type="dxa"/>
            <w:vAlign w:val="bottom"/>
          </w:tcPr>
          <w:p>
            <w:pPr>
              <w:spacing w:after="0"/>
              <w:rPr>
                <w:sz w:val="17"/>
                <w:szCs w:val="17"/>
                <w:color w:val="auto"/>
              </w:rPr>
            </w:pPr>
          </w:p>
        </w:tc>
        <w:tc>
          <w:tcPr>
            <w:tcW w:w="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(2,621)</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Average Shares Outstanding(5)</w:t>
            </w:r>
          </w:p>
        </w:tc>
        <w:tc>
          <w:tcPr>
            <w:tcW w:w="220" w:type="dxa"/>
            <w:vAlign w:val="bottom"/>
          </w:tcPr>
          <w:p>
            <w:pPr>
              <w:spacing w:after="0"/>
              <w:rPr>
                <w:sz w:val="24"/>
                <w:szCs w:val="24"/>
                <w:color w:val="auto"/>
              </w:rPr>
            </w:pPr>
          </w:p>
        </w:tc>
        <w:tc>
          <w:tcPr>
            <w:tcW w:w="78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5"/>
              </w:rPr>
              <w:t>10,250</w:t>
            </w:r>
          </w:p>
        </w:tc>
        <w:tc>
          <w:tcPr>
            <w:tcW w:w="22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8,768</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(3,153)</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15,865</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(Loss) Per Share</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0.66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(0.17)</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Page 24 of 31</w:t>
            </w:r>
          </w:p>
        </w:tc>
        <w:tc>
          <w:tcPr>
            <w:tcW w:w="960" w:type="dxa"/>
            <w:vAlign w:val="bottom"/>
          </w:tcPr>
          <w:p>
            <w:pPr>
              <w:spacing w:after="0"/>
              <w:rPr>
                <w:sz w:val="17"/>
                <w:szCs w:val="17"/>
                <w:color w:val="auto"/>
              </w:rPr>
            </w:pPr>
          </w:p>
        </w:tc>
      </w:tr>
    </w:tbl>
    <w:p>
      <w:pPr>
        <w:sectPr>
          <w:pgSz w:w="11900" w:h="16838" w:orient="portrait"/>
          <w:cols w:equalWidth="0" w:num="1">
            <w:col w:w="10219"/>
          </w:cols>
          <w:pgMar w:left="240" w:top="514"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ind w:left="3800"/>
        <w:spacing w:after="0" w:line="238" w:lineRule="auto"/>
        <w:rPr>
          <w:sz w:val="20"/>
          <w:szCs w:val="20"/>
          <w:color w:val="auto"/>
        </w:rPr>
      </w:pPr>
      <w:r>
        <w:rPr>
          <w:rFonts w:ascii="Courier New" w:cs="Courier New" w:eastAsia="Courier New" w:hAnsi="Courier New"/>
          <w:sz w:val="18"/>
          <w:szCs w:val="18"/>
          <w:color w:val="auto"/>
        </w:rPr>
        <w:t>MasTec, Inc.</w:t>
      </w:r>
    </w:p>
    <w:p>
      <w:pPr>
        <w:ind w:left="1700"/>
        <w:spacing w:after="0"/>
        <w:rPr>
          <w:sz w:val="20"/>
          <w:szCs w:val="20"/>
          <w:color w:val="auto"/>
        </w:rPr>
      </w:pPr>
      <w:r>
        <w:rPr>
          <w:rFonts w:ascii="Courier New" w:cs="Courier New" w:eastAsia="Courier New" w:hAnsi="Courier New"/>
          <w:sz w:val="18"/>
          <w:szCs w:val="18"/>
          <w:color w:val="auto"/>
        </w:rPr>
        <w:t>PROFORMA CONSOLIDATED STATEMENT OF INCOME (UNAUDITED)</w:t>
      </w:r>
    </w:p>
    <w:p>
      <w:pPr>
        <w:ind w:left="2320"/>
        <w:spacing w:after="0" w:line="237" w:lineRule="auto"/>
        <w:rPr>
          <w:sz w:val="20"/>
          <w:szCs w:val="20"/>
          <w:color w:val="auto"/>
        </w:rPr>
      </w:pPr>
      <w:r>
        <w:rPr>
          <w:rFonts w:ascii="Courier New" w:cs="Courier New" w:eastAsia="Courier New" w:hAnsi="Courier New"/>
          <w:sz w:val="18"/>
          <w:szCs w:val="18"/>
          <w:color w:val="auto"/>
        </w:rPr>
        <w:t>(In Thousands Except Per Share Amounts)</w:t>
      </w: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2220" w:type="dxa"/>
            <w:vAlign w:val="bottom"/>
            <w:gridSpan w:val="4"/>
          </w:tcPr>
          <w:p>
            <w:pPr>
              <w:jc w:val="center"/>
              <w:spacing w:after="0"/>
              <w:rPr>
                <w:sz w:val="20"/>
                <w:szCs w:val="20"/>
                <w:color w:val="auto"/>
              </w:rPr>
            </w:pPr>
            <w:r>
              <w:rPr>
                <w:rFonts w:ascii="Courier New" w:cs="Courier New" w:eastAsia="Courier New" w:hAnsi="Courier New"/>
                <w:sz w:val="18"/>
                <w:szCs w:val="18"/>
                <w:color w:val="auto"/>
                <w:w w:val="97"/>
              </w:rPr>
              <w:t>TWELVE MONTHS ENDED</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31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8"/>
                <w:szCs w:val="18"/>
                <w:color w:val="auto"/>
                <w:w w:val="92"/>
              </w:rPr>
              <w:t>CT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GROUP</w:t>
            </w:r>
          </w:p>
        </w:tc>
        <w:tc>
          <w:tcPr>
            <w:tcW w:w="220" w:type="dxa"/>
            <w:vAlign w:val="bottom"/>
          </w:tcPr>
          <w:p>
            <w:pPr>
              <w:spacing w:after="0"/>
              <w:rPr>
                <w:sz w:val="24"/>
                <w:szCs w:val="24"/>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BURNUP</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160" w:type="dxa"/>
            <w:vAlign w:val="bottom"/>
          </w:tcPr>
          <w:p>
            <w:pPr>
              <w:spacing w:after="0"/>
              <w:rPr>
                <w:sz w:val="17"/>
                <w:szCs w:val="17"/>
                <w:color w:val="auto"/>
              </w:rPr>
            </w:pPr>
          </w:p>
        </w:tc>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December</w:t>
            </w:r>
          </w:p>
        </w:tc>
        <w:tc>
          <w:tcPr>
            <w:tcW w:w="22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January</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 FORMA</w:t>
            </w:r>
          </w:p>
        </w:tc>
        <w:tc>
          <w:tcPr>
            <w:tcW w:w="420" w:type="dxa"/>
            <w:vAlign w:val="bottom"/>
          </w:tcPr>
          <w:p>
            <w:pPr>
              <w:spacing w:after="0"/>
              <w:rPr>
                <w:sz w:val="17"/>
                <w:szCs w:val="17"/>
                <w:color w:val="auto"/>
              </w:rPr>
            </w:pP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CONSOLIDATED</w:t>
            </w:r>
          </w:p>
        </w:tc>
      </w:tr>
      <w:tr>
        <w:trPr>
          <w:trHeight w:val="203"/>
        </w:trPr>
        <w:tc>
          <w:tcPr>
            <w:tcW w:w="3160" w:type="dxa"/>
            <w:vAlign w:val="bottom"/>
          </w:tcPr>
          <w:p>
            <w:pPr>
              <w:spacing w:after="0"/>
              <w:rPr>
                <w:sz w:val="17"/>
                <w:szCs w:val="17"/>
                <w:color w:val="auto"/>
              </w:rPr>
            </w:pPr>
          </w:p>
        </w:tc>
        <w:tc>
          <w:tcPr>
            <w:tcW w:w="10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31, 1992</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31, 1993</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ADJUSTMENTS</w:t>
            </w:r>
          </w:p>
        </w:tc>
        <w:tc>
          <w:tcPr>
            <w:tcW w:w="14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PROFORMA</w:t>
            </w:r>
          </w:p>
        </w:tc>
      </w:tr>
      <w:tr>
        <w:trPr>
          <w:trHeight w:val="203"/>
        </w:trPr>
        <w:tc>
          <w:tcPr>
            <w:tcW w:w="3160" w:type="dxa"/>
            <w:vAlign w:val="bottom"/>
          </w:tcPr>
          <w:p>
            <w:pPr>
              <w:spacing w:after="0"/>
              <w:rPr>
                <w:sz w:val="17"/>
                <w:szCs w:val="17"/>
                <w:color w:val="auto"/>
              </w:rPr>
            </w:pPr>
          </w:p>
        </w:tc>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00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w w:val="97"/>
              </w:rPr>
              <w:t>$ 34,136</w:t>
            </w:r>
          </w:p>
        </w:tc>
        <w:tc>
          <w:tcPr>
            <w:tcW w:w="22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143,990</w:t>
            </w: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4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$ 178,126</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Costs of Revenues (exclusive</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depreciation and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amortization shown separately</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below)</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22,163</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126,233</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148,396</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3,289</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17,075</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20,364</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Depreciation and Amortization</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371</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6,600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5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6,538</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34</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4,718</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5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4,929</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Interest and Dividend Income</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(4,038)</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2,685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5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(1,560)</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(1,868)</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(2,077)</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25,441</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148,720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2,429</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176,590</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Income</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 Equity in Earnings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(Losses) of Unconsolidated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Joint Ventures and Minority</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in Earnings of</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Consolidated Joint Venture</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8,695</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(4,730)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(2,429)</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1,536</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Provision (Credit) for Income</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(1,738)</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2,135 (4)</w:t>
            </w:r>
          </w:p>
        </w:tc>
        <w:tc>
          <w:tcPr>
            <w:tcW w:w="5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397</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Income (Loss) Before Equity in</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9"/>
              </w:rPr>
              <w:t>Losses of Unconsolidated Joint</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Ventures and Minority Interest in</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Earnings of Consolidated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Joint Venture</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8,695</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(2,992)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(4,564)</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1,139</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Equity in Losses of</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Unconsolidated Joint Ventures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(373)</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(373)</w:t>
            </w:r>
          </w:p>
        </w:tc>
      </w:tr>
      <w:tr>
        <w:trPr>
          <w:trHeight w:val="405"/>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w w:val="97"/>
              </w:rPr>
              <w:t>Minority Interest in Earnings of</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Consolidated Joint Venture</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NET INCOME (LOSS)</w:t>
            </w:r>
          </w:p>
        </w:tc>
        <w:tc>
          <w:tcPr>
            <w:tcW w:w="2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8,280</w:t>
            </w:r>
          </w:p>
        </w:tc>
        <w:tc>
          <w:tcPr>
            <w:tcW w:w="22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(2,992)</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 (4,564)</w:t>
            </w:r>
          </w:p>
        </w:tc>
        <w:tc>
          <w:tcPr>
            <w:tcW w:w="420" w:type="dxa"/>
            <w:vAlign w:val="bottom"/>
          </w:tcPr>
          <w:p>
            <w:pPr>
              <w:spacing w:after="0"/>
              <w:rPr>
                <w:sz w:val="24"/>
                <w:szCs w:val="24"/>
                <w:color w:val="auto"/>
              </w:rPr>
            </w:pPr>
          </w:p>
        </w:tc>
        <w:tc>
          <w:tcPr>
            <w:tcW w:w="540" w:type="dxa"/>
            <w:vAlign w:val="bottom"/>
          </w:tcPr>
          <w:p>
            <w:pPr>
              <w:ind w:left="38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724</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Shares Outstanding(5)</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10,250</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8,768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(3,153)</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15,865</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(Loss) Per Share</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0.81</w:t>
            </w:r>
          </w:p>
        </w:tc>
        <w:tc>
          <w:tcPr>
            <w:tcW w:w="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(0.34)</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0.05</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Page 25 of 31</w:t>
      </w:r>
    </w:p>
    <w:p>
      <w:pPr>
        <w:sectPr>
          <w:pgSz w:w="11900" w:h="16838" w:orient="portrait"/>
          <w:cols w:equalWidth="0" w:num="1">
            <w:col w:w="10219"/>
          </w:cols>
          <w:pgMar w:left="240" w:top="514"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Unaudited Pro Forma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Balance Sheet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w:t>
        <w:tab/>
        <w:t>To record exchange with NBC as follows:</w:t>
      </w:r>
    </w:p>
    <w:p>
      <w:pPr>
        <w:spacing w:after="0" w:line="200" w:lineRule="exact"/>
        <w:rPr>
          <w:sz w:val="20"/>
          <w:szCs w:val="20"/>
          <w:color w:val="auto"/>
        </w:rPr>
      </w:pPr>
    </w:p>
    <w:p>
      <w:pPr>
        <w:spacing w:after="0" w:line="209"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(000's)</w:t>
      </w:r>
    </w:p>
    <w:p>
      <w:pPr>
        <w:spacing w:after="0" w:line="21" w:lineRule="exact"/>
        <w:rPr>
          <w:sz w:val="20"/>
          <w:szCs w:val="20"/>
          <w:color w:val="auto"/>
        </w:rPr>
      </w:pPr>
    </w:p>
    <w:p>
      <w:pPr>
        <w:ind w:left="1060" w:right="5159" w:hanging="525"/>
        <w:spacing w:after="0" w:line="268" w:lineRule="auto"/>
        <w:tabs>
          <w:tab w:leader="none" w:pos="10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 of subordinated debenture and other investment included in Other</w:t>
      </w:r>
    </w:p>
    <w:tbl>
      <w:tblPr>
        <w:tblLayout w:type="fixed"/>
        <w:tblInd w:w="1060" w:type="dxa"/>
        <w:tblCellMar>
          <w:top w:w="0" w:type="dxa"/>
          <w:left w:w="0" w:type="dxa"/>
          <w:bottom w:w="0" w:type="dxa"/>
          <w:right w:w="0" w:type="dxa"/>
        </w:tblCellMar>
      </w:tblPr>
      <w:tr>
        <w:trPr>
          <w:trHeight w:val="199"/>
        </w:trPr>
        <w:tc>
          <w:tcPr>
            <w:tcW w:w="3100" w:type="dxa"/>
            <w:vAlign w:val="bottom"/>
          </w:tcPr>
          <w:p>
            <w:pPr>
              <w:spacing w:after="0" w:line="198" w:lineRule="exact"/>
              <w:rPr>
                <w:sz w:val="20"/>
                <w:szCs w:val="20"/>
                <w:color w:val="auto"/>
              </w:rPr>
            </w:pPr>
            <w:r>
              <w:rPr>
                <w:rFonts w:ascii="Courier New" w:cs="Courier New" w:eastAsia="Courier New" w:hAnsi="Courier New"/>
                <w:sz w:val="18"/>
                <w:szCs w:val="18"/>
                <w:color w:val="auto"/>
              </w:rPr>
              <w:t>current assets</w:t>
            </w:r>
          </w:p>
        </w:tc>
        <w:tc>
          <w:tcPr>
            <w:tcW w:w="24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  2,500</w:t>
            </w:r>
          </w:p>
        </w:tc>
      </w:tr>
    </w:tbl>
    <w:p>
      <w:pPr>
        <w:spacing w:after="0" w:line="4" w:lineRule="exact"/>
        <w:rPr>
          <w:sz w:val="20"/>
          <w:szCs w:val="20"/>
          <w:color w:val="auto"/>
        </w:rPr>
      </w:pPr>
    </w:p>
    <w:p>
      <w:pPr>
        <w:ind w:left="1060" w:right="5359" w:hanging="525"/>
        <w:spacing w:after="0" w:line="268" w:lineRule="auto"/>
        <w:tabs>
          <w:tab w:leader="none" w:pos="10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 of subordinated debenture and other indebtedness included in</w:t>
      </w:r>
    </w:p>
    <w:tbl>
      <w:tblPr>
        <w:tblLayout w:type="fixed"/>
        <w:tblInd w:w="540" w:type="dxa"/>
        <w:tblCellMar>
          <w:top w:w="0" w:type="dxa"/>
          <w:left w:w="0" w:type="dxa"/>
          <w:bottom w:w="0" w:type="dxa"/>
          <w:right w:w="0" w:type="dxa"/>
        </w:tblCellMar>
      </w:tblPr>
      <w:tr>
        <w:trPr>
          <w:trHeight w:val="199"/>
        </w:trPr>
        <w:tc>
          <w:tcPr>
            <w:tcW w:w="420" w:type="dxa"/>
            <w:vAlign w:val="bottom"/>
          </w:tcPr>
          <w:p>
            <w:pPr>
              <w:spacing w:after="0"/>
              <w:rPr>
                <w:sz w:val="17"/>
                <w:szCs w:val="17"/>
                <w:color w:val="auto"/>
              </w:rPr>
            </w:pPr>
          </w:p>
        </w:tc>
        <w:tc>
          <w:tcPr>
            <w:tcW w:w="2260" w:type="dxa"/>
            <w:vAlign w:val="bottom"/>
          </w:tcPr>
          <w:p>
            <w:pPr>
              <w:ind w:left="100"/>
              <w:spacing w:after="0" w:line="198" w:lineRule="exact"/>
              <w:rPr>
                <w:sz w:val="20"/>
                <w:szCs w:val="20"/>
                <w:color w:val="auto"/>
              </w:rPr>
            </w:pPr>
            <w:r>
              <w:rPr>
                <w:rFonts w:ascii="Courier New" w:cs="Courier New" w:eastAsia="Courier New" w:hAnsi="Courier New"/>
                <w:sz w:val="18"/>
                <w:szCs w:val="18"/>
                <w:color w:val="auto"/>
              </w:rPr>
              <w:t>Investment in NBC</w:t>
            </w:r>
          </w:p>
        </w:tc>
        <w:tc>
          <w:tcPr>
            <w:tcW w:w="168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15,401</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(c)</w:t>
            </w:r>
          </w:p>
        </w:tc>
        <w:tc>
          <w:tcPr>
            <w:tcW w:w="2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retirement of Common</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(d)</w:t>
            </w:r>
          </w:p>
        </w:tc>
        <w:tc>
          <w:tcPr>
            <w:tcW w:w="2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reduction in Capital</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surplus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17,586</w:t>
            </w:r>
          </w:p>
        </w:tc>
      </w:tr>
    </w:tbl>
    <w:p>
      <w:pPr>
        <w:spacing w:after="0" w:line="207" w:lineRule="exact"/>
        <w:rPr>
          <w:sz w:val="20"/>
          <w:szCs w:val="20"/>
          <w:color w:val="auto"/>
        </w:rPr>
      </w:pPr>
    </w:p>
    <w:p>
      <w:pPr>
        <w:jc w:val="both"/>
        <w:ind w:left="540" w:right="4839" w:hanging="532"/>
        <w:spacing w:after="0" w:line="279" w:lineRule="auto"/>
        <w:tabs>
          <w:tab w:leader="none" w:pos="5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stock options and stock appreciation rights ("SAR's") exercised by Burnup employees prior to the consummation date as follows:</w:t>
      </w:r>
    </w:p>
    <w:p>
      <w:pPr>
        <w:spacing w:after="0" w:line="173" w:lineRule="exact"/>
        <w:rPr>
          <w:sz w:val="20"/>
          <w:szCs w:val="20"/>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163,100 shares of common</w:t>
      </w:r>
    </w:p>
    <w:p>
      <w:pPr>
        <w:sectPr>
          <w:pgSz w:w="11900" w:h="16838" w:orient="portrait"/>
          <w:cols w:equalWidth="0" w:num="1">
            <w:col w:w="10219"/>
          </w:cols>
          <w:pgMar w:left="240" w:top="514" w:right="1440" w:bottom="1440" w:gutter="0" w:footer="0" w:header="0"/>
        </w:sectPr>
      </w:pPr>
    </w:p>
    <w:p>
      <w:pPr>
        <w:ind w:left="1060"/>
        <w:spacing w:after="0" w:line="238" w:lineRule="auto"/>
        <w:rPr>
          <w:sz w:val="20"/>
          <w:szCs w:val="20"/>
          <w:color w:val="auto"/>
        </w:rPr>
      </w:pPr>
      <w:r>
        <w:rPr>
          <w:rFonts w:ascii="Courier New" w:cs="Courier New" w:eastAsia="Courier New" w:hAnsi="Courier New"/>
          <w:sz w:val="18"/>
          <w:szCs w:val="18"/>
          <w:color w:val="auto"/>
        </w:rPr>
        <w:t>stock par value $.10</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increase in capital surplus</w:t>
      </w:r>
    </w:p>
    <w:p>
      <w:pPr>
        <w:spacing w:after="0" w:line="20" w:lineRule="exact"/>
        <w:rPr>
          <w:sz w:val="20"/>
          <w:szCs w:val="20"/>
          <w:color w:val="auto"/>
        </w:rPr>
      </w:pPr>
      <w:r>
        <w:rPr>
          <w:sz w:val="20"/>
          <w:szCs w:val="20"/>
          <w:color w:val="auto"/>
        </w:rPr>
        <w:br w:type="column"/>
      </w:r>
    </w:p>
    <w:p>
      <w:pPr>
        <w:jc w:val="both"/>
        <w:ind w:left="100"/>
        <w:spacing w:after="0" w:line="238" w:lineRule="auto"/>
        <w:tabs>
          <w:tab w:leader="none" w:pos="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16</w:t>
      </w:r>
    </w:p>
    <w:p>
      <w:pPr>
        <w:spacing w:after="0" w:line="5"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3579"/>
        <w:spacing w:after="0"/>
        <w:tabs>
          <w:tab w:leader="none" w:pos="5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1,027</w:t>
      </w:r>
    </w:p>
    <w:p>
      <w:pPr>
        <w:spacing w:after="0" w:line="4"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4980" w:space="720"/>
            <w:col w:w="4519"/>
          </w:cols>
          <w:pgMar w:left="240" w:top="514" w:right="1440" w:bottom="1440" w:gutter="0" w:footer="0" w:header="0"/>
          <w:type w:val="continuous"/>
        </w:sectPr>
      </w:pPr>
    </w:p>
    <w:p>
      <w:pPr>
        <w:ind w:left="1060" w:hanging="525"/>
        <w:spacing w:after="0"/>
        <w:tabs>
          <w:tab w:leader="none" w:pos="10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decrease in cash from exercise of</w:t>
      </w:r>
    </w:p>
    <w:p>
      <w:pPr>
        <w:sectPr>
          <w:pgSz w:w="11900" w:h="16838" w:orient="portrait"/>
          <w:cols w:equalWidth="0" w:num="1">
            <w:col w:w="10219"/>
          </w:cols>
          <w:pgMar w:left="240" w:top="514" w:right="1440" w:bottom="1440" w:gutter="0" w:footer="0" w:header="0"/>
          <w:type w:val="continuous"/>
        </w:sectPr>
      </w:pP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stock options and SAR's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00"/>
        <w:spacing w:after="0"/>
        <w:tabs>
          <w:tab w:leader="none" w:pos="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227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4980" w:space="720"/>
            <w:col w:w="4519"/>
          </w:cols>
          <w:pgMar w:left="240" w:top="514" w:right="1440" w:bottom="1440" w:gutter="0" w:footer="0" w:header="0"/>
          <w:type w:val="continuous"/>
        </w:sectPr>
      </w:pPr>
    </w:p>
    <w:p>
      <w:pPr>
        <w:ind w:left="1060" w:hanging="525"/>
        <w:spacing w:after="0"/>
        <w:tabs>
          <w:tab w:leader="none" w:pos="10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decrease in accrued compensation expense</w:t>
      </w:r>
    </w:p>
    <w:p>
      <w:pPr>
        <w:sectPr>
          <w:pgSz w:w="11900" w:h="16838" w:orient="portrait"/>
          <w:cols w:equalWidth="0" w:num="1">
            <w:col w:w="10219"/>
          </w:cols>
          <w:pgMar w:left="240" w:top="514" w:right="1440" w:bottom="1440" w:gutter="0" w:footer="0" w:header="0"/>
          <w:type w:val="continuous"/>
        </w:sectPr>
      </w:pP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as a result of SAR's exercised</w:t>
      </w:r>
    </w:p>
    <w:p>
      <w:pPr>
        <w:spacing w:after="0" w:line="20" w:lineRule="exact"/>
        <w:rPr>
          <w:sz w:val="20"/>
          <w:szCs w:val="20"/>
          <w:color w:val="auto"/>
        </w:rPr>
      </w:pPr>
      <w:r>
        <w:rPr>
          <w:sz w:val="20"/>
          <w:szCs w:val="20"/>
          <w:color w:val="auto"/>
        </w:rPr>
        <w:br w:type="column"/>
      </w:r>
    </w:p>
    <w:p>
      <w:pPr>
        <w:ind w:left="100"/>
        <w:spacing w:after="0"/>
        <w:tabs>
          <w:tab w:leader="none" w:pos="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1,297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980" w:space="720"/>
            <w:col w:w="4519"/>
          </w:cols>
          <w:pgMar w:left="240" w:top="514" w:right="1440" w:bottom="1440" w:gutter="0" w:footer="0" w:header="0"/>
          <w:type w:val="continuous"/>
        </w:sectPr>
      </w:pPr>
    </w:p>
    <w:p>
      <w:pPr>
        <w:spacing w:after="0" w:line="24" w:lineRule="exact"/>
        <w:rPr>
          <w:sz w:val="20"/>
          <w:szCs w:val="20"/>
          <w:color w:val="auto"/>
        </w:rPr>
      </w:pPr>
    </w:p>
    <w:p>
      <w:pPr>
        <w:ind w:left="540" w:right="4739" w:hanging="532"/>
        <w:spacing w:after="0" w:line="279" w:lineRule="auto"/>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allocate the purchase price of $32,897,000 (based on 5,777,592 shares outstanding at $5.60 per share, plus transaction cost of $550,000)</w:t>
      </w:r>
    </w:p>
    <w:p>
      <w:pPr>
        <w:spacing w:after="0" w:line="17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000" w:type="dxa"/>
            <w:vAlign w:val="bottom"/>
          </w:tcPr>
          <w:p>
            <w:pPr>
              <w:spacing w:after="0"/>
              <w:rPr>
                <w:sz w:val="20"/>
                <w:szCs w:val="20"/>
                <w:color w:val="auto"/>
              </w:rPr>
            </w:pPr>
            <w:r>
              <w:rPr>
                <w:rFonts w:ascii="Courier New" w:cs="Courier New" w:eastAsia="Courier New" w:hAnsi="Courier New"/>
                <w:sz w:val="18"/>
                <w:szCs w:val="18"/>
                <w:color w:val="auto"/>
              </w:rPr>
              <w:t>Net book value of Burnup at January 31, 1994</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$ 33,988</w:t>
            </w:r>
          </w:p>
        </w:tc>
      </w:tr>
      <w:tr>
        <w:trPr>
          <w:trHeight w:val="405"/>
        </w:trPr>
        <w:tc>
          <w:tcPr>
            <w:tcW w:w="5000" w:type="dxa"/>
            <w:vAlign w:val="bottom"/>
          </w:tcPr>
          <w:p>
            <w:pPr>
              <w:spacing w:after="0"/>
              <w:rPr>
                <w:sz w:val="20"/>
                <w:szCs w:val="20"/>
                <w:color w:val="auto"/>
              </w:rPr>
            </w:pPr>
            <w:r>
              <w:rPr>
                <w:rFonts w:ascii="Courier New" w:cs="Courier New" w:eastAsia="Courier New" w:hAnsi="Courier New"/>
                <w:sz w:val="18"/>
                <w:szCs w:val="18"/>
                <w:color w:val="auto"/>
              </w:rPr>
              <w:t>Less: Effect of exchange with NBC and loss</w:t>
            </w:r>
          </w:p>
        </w:tc>
        <w:tc>
          <w:tcPr>
            <w:tcW w:w="1200" w:type="dxa"/>
            <w:vAlign w:val="bottom"/>
          </w:tcPr>
          <w:p>
            <w:pPr>
              <w:spacing w:after="0"/>
              <w:rPr>
                <w:sz w:val="24"/>
                <w:szCs w:val="24"/>
                <w:color w:val="auto"/>
              </w:rPr>
            </w:pPr>
          </w:p>
        </w:tc>
      </w:tr>
      <w:tr>
        <w:trPr>
          <w:trHeight w:val="203"/>
        </w:trPr>
        <w:tc>
          <w:tcPr>
            <w:tcW w:w="5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for period to acquisition</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(21,363)</w:t>
            </w:r>
          </w:p>
        </w:tc>
      </w:tr>
      <w:tr>
        <w:trPr>
          <w:trHeight w:val="203"/>
        </w:trPr>
        <w:tc>
          <w:tcPr>
            <w:tcW w:w="500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00" w:type="dxa"/>
            <w:vAlign w:val="bottom"/>
          </w:tcPr>
          <w:p>
            <w:pPr>
              <w:spacing w:after="0"/>
              <w:rPr>
                <w:sz w:val="20"/>
                <w:szCs w:val="20"/>
                <w:color w:val="auto"/>
              </w:rPr>
            </w:pPr>
            <w:r>
              <w:rPr>
                <w:rFonts w:ascii="Courier New" w:cs="Courier New" w:eastAsia="Courier New" w:hAnsi="Courier New"/>
                <w:sz w:val="18"/>
                <w:szCs w:val="18"/>
                <w:color w:val="auto"/>
              </w:rPr>
              <w:t>Net book value at acquisition</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12,625</w:t>
            </w:r>
          </w:p>
        </w:tc>
      </w:tr>
      <w:tr>
        <w:trPr>
          <w:trHeight w:val="405"/>
        </w:trPr>
        <w:tc>
          <w:tcPr>
            <w:tcW w:w="5000" w:type="dxa"/>
            <w:vAlign w:val="bottom"/>
          </w:tcPr>
          <w:p>
            <w:pPr>
              <w:spacing w:after="0"/>
              <w:rPr>
                <w:sz w:val="20"/>
                <w:szCs w:val="20"/>
                <w:color w:val="auto"/>
              </w:rPr>
            </w:pPr>
            <w:r>
              <w:rPr>
                <w:rFonts w:ascii="Courier New" w:cs="Courier New" w:eastAsia="Courier New" w:hAnsi="Courier New"/>
                <w:sz w:val="18"/>
                <w:szCs w:val="18"/>
                <w:color w:val="auto"/>
              </w:rPr>
              <w:t>Purchase price</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32,906</w:t>
            </w:r>
          </w:p>
        </w:tc>
      </w:tr>
      <w:tr>
        <w:trPr>
          <w:trHeight w:val="203"/>
        </w:trPr>
        <w:tc>
          <w:tcPr>
            <w:tcW w:w="500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00" w:type="dxa"/>
            <w:vAlign w:val="bottom"/>
          </w:tcPr>
          <w:p>
            <w:pPr>
              <w:spacing w:after="0"/>
              <w:rPr>
                <w:sz w:val="20"/>
                <w:szCs w:val="20"/>
                <w:color w:val="auto"/>
              </w:rPr>
            </w:pPr>
            <w:r>
              <w:rPr>
                <w:rFonts w:ascii="Courier New" w:cs="Courier New" w:eastAsia="Courier New" w:hAnsi="Courier New"/>
                <w:sz w:val="18"/>
                <w:szCs w:val="18"/>
                <w:color w:val="auto"/>
              </w:rPr>
              <w:t>Excess purchase price over net assets acquired</w:t>
            </w:r>
          </w:p>
        </w:tc>
        <w:tc>
          <w:tcPr>
            <w:tcW w:w="1200" w:type="dxa"/>
            <w:vAlign w:val="bottom"/>
          </w:tcPr>
          <w:p>
            <w:pPr>
              <w:spacing w:after="0"/>
              <w:rPr>
                <w:sz w:val="24"/>
                <w:szCs w:val="24"/>
                <w:color w:val="auto"/>
              </w:rPr>
            </w:pPr>
          </w:p>
        </w:tc>
      </w:tr>
      <w:tr>
        <w:trPr>
          <w:trHeight w:val="203"/>
        </w:trPr>
        <w:tc>
          <w:tcPr>
            <w:tcW w:w="5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included in Capital Surplus</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$ 20,281</w:t>
            </w:r>
          </w:p>
        </w:tc>
      </w:tr>
      <w:tr>
        <w:trPr>
          <w:trHeight w:val="203"/>
        </w:trPr>
        <w:tc>
          <w:tcPr>
            <w:tcW w:w="500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Page 26 of 31</w:t>
      </w:r>
    </w:p>
    <w:p>
      <w:pPr>
        <w:sectPr>
          <w:pgSz w:w="11900" w:h="16838" w:orient="portrait"/>
          <w:cols w:equalWidth="0" w:num="1">
            <w:col w:w="10219"/>
          </w:cols>
          <w:pgMar w:left="240" w:top="514" w:right="1440" w:bottom="1440" w:gutter="0" w:footer="0" w:header="0"/>
          <w:type w:val="continuous"/>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Allocated as follows:</w:t>
      </w:r>
    </w:p>
    <w:p>
      <w:pPr>
        <w:spacing w:after="0" w:line="207"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Incr. (Decr.)</w:t>
      </w:r>
    </w:p>
    <w:p>
      <w:pPr>
        <w:spacing w:after="0" w:line="21"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in net assets</w:t>
      </w:r>
    </w:p>
    <w:p>
      <w:pPr>
        <w:spacing w:after="0" w:line="21"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Increase in Land included in Property</w:t>
      </w:r>
    </w:p>
    <w:p>
      <w:pPr>
        <w:sectPr>
          <w:pgSz w:w="11900" w:h="16838" w:orient="portrait"/>
          <w:cols w:equalWidth="0" w:num="1">
            <w:col w:w="10219"/>
          </w:cols>
          <w:pgMar w:left="240" w:top="514" w:right="1440" w:bottom="1440" w:gutter="0" w:footer="0" w:header="0"/>
        </w:sectPr>
      </w:pP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to fair value</w:t>
      </w:r>
    </w:p>
    <w:p>
      <w:pPr>
        <w:spacing w:after="0" w:line="20" w:lineRule="exact"/>
        <w:rPr>
          <w:sz w:val="20"/>
          <w:szCs w:val="20"/>
          <w:color w:val="auto"/>
        </w:rPr>
      </w:pPr>
      <w:r>
        <w:rPr>
          <w:sz w:val="20"/>
          <w:szCs w:val="20"/>
          <w:color w:val="auto"/>
        </w:rPr>
        <w:br w:type="column"/>
      </w:r>
    </w:p>
    <w:p>
      <w:pPr>
        <w:jc w:val="center"/>
        <w:ind w:right="3579"/>
        <w:spacing w:after="0"/>
        <w:rPr>
          <w:sz w:val="20"/>
          <w:szCs w:val="20"/>
          <w:color w:val="auto"/>
        </w:rPr>
      </w:pPr>
      <w:r>
        <w:rPr>
          <w:rFonts w:ascii="Courier New" w:cs="Courier New" w:eastAsia="Courier New" w:hAnsi="Courier New"/>
          <w:sz w:val="16"/>
          <w:szCs w:val="16"/>
          <w:color w:val="auto"/>
        </w:rPr>
        <w:t>$20,471</w:t>
      </w:r>
    </w:p>
    <w:p>
      <w:pPr>
        <w:spacing w:after="0" w:line="16" w:lineRule="exact"/>
        <w:rPr>
          <w:sz w:val="20"/>
          <w:szCs w:val="20"/>
          <w:color w:val="auto"/>
        </w:rPr>
      </w:pPr>
    </w:p>
    <w:p>
      <w:pPr>
        <w:sectPr>
          <w:pgSz w:w="11900" w:h="16838" w:orient="portrait"/>
          <w:cols w:equalWidth="0" w:num="2">
            <w:col w:w="5180" w:space="720"/>
            <w:col w:w="4319"/>
          </w:cols>
          <w:pgMar w:left="240" w:top="514" w:right="1440" w:bottom="1440" w:gutter="0" w:footer="0" w:header="0"/>
          <w:type w:val="continuous"/>
        </w:sect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in buildings included in</w:t>
      </w:r>
    </w:p>
    <w:tbl>
      <w:tblPr>
        <w:tblLayout w:type="fixed"/>
        <w:tblInd w:w="1060" w:type="dxa"/>
        <w:tblCellMar>
          <w:top w:w="0" w:type="dxa"/>
          <w:left w:w="0" w:type="dxa"/>
          <w:bottom w:w="0" w:type="dxa"/>
          <w:right w:w="0" w:type="dxa"/>
        </w:tblCellMar>
      </w:tblPr>
      <w:tr>
        <w:trPr>
          <w:trHeight w:val="203"/>
        </w:trPr>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to fair value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2,070</w:t>
            </w:r>
          </w:p>
        </w:tc>
      </w:tr>
    </w:tbl>
    <w:p>
      <w:pPr>
        <w:ind w:left="1060" w:hanging="525"/>
        <w:spacing w:after="0" w:line="238"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in real estate investment</w:t>
      </w:r>
    </w:p>
    <w:tbl>
      <w:tblPr>
        <w:tblLayout w:type="fixed"/>
        <w:tblInd w:w="54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1940" w:type="dxa"/>
            <w:vAlign w:val="bottom"/>
          </w:tcPr>
          <w:p>
            <w:pPr>
              <w:ind w:left="100"/>
              <w:spacing w:after="0"/>
              <w:rPr>
                <w:sz w:val="20"/>
                <w:szCs w:val="20"/>
                <w:color w:val="auto"/>
              </w:rPr>
            </w:pPr>
            <w:r>
              <w:rPr>
                <w:rFonts w:ascii="Courier New" w:cs="Courier New" w:eastAsia="Courier New" w:hAnsi="Courier New"/>
                <w:sz w:val="18"/>
                <w:szCs w:val="18"/>
                <w:color w:val="auto"/>
                <w:w w:val="99"/>
              </w:rPr>
              <w:t>included in Other</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rPr>
              <w:t>assets to fair value</w:t>
            </w: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10,911</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(d)</w:t>
            </w:r>
          </w:p>
        </w:tc>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Decrease in value</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Investment in</w:t>
            </w:r>
          </w:p>
        </w:tc>
        <w:tc>
          <w:tcPr>
            <w:tcW w:w="114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4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preferred stock and notes Receivables</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(e)</w:t>
            </w:r>
          </w:p>
        </w:tc>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Decrease in value</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historical Goodwill</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(3,174)</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(f)</w:t>
            </w:r>
          </w:p>
        </w:tc>
        <w:tc>
          <w:tcPr>
            <w:tcW w:w="4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Increase in deferred taxes included in</w:t>
            </w:r>
          </w:p>
        </w:tc>
        <w:tc>
          <w:tcPr>
            <w:tcW w:w="114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Other liabilities</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resulting from</w:t>
            </w:r>
          </w:p>
        </w:tc>
        <w:tc>
          <w:tcPr>
            <w:tcW w:w="114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above adjustments</w:t>
            </w:r>
          </w:p>
        </w:tc>
        <w:tc>
          <w:tcPr>
            <w:tcW w:w="27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(11,836)</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(g)</w:t>
            </w:r>
          </w:p>
        </w:tc>
        <w:tc>
          <w:tcPr>
            <w:tcW w:w="4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Goodwill on acquisition</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3,839</w:t>
            </w:r>
          </w:p>
        </w:tc>
      </w:tr>
      <w:tr>
        <w:trPr>
          <w:trHeight w:val="203"/>
        </w:trPr>
        <w:tc>
          <w:tcPr>
            <w:tcW w:w="4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$20,281</w:t>
            </w:r>
          </w:p>
        </w:tc>
      </w:tr>
      <w:tr>
        <w:trPr>
          <w:trHeight w:val="203"/>
        </w:trPr>
        <w:tc>
          <w:tcPr>
            <w:tcW w:w="4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515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recognize deferred tax asset of $435,000 included in Other liabilities regarding deductible temporary differences related to the Group.</w:t>
      </w:r>
    </w:p>
    <w:p>
      <w:pPr>
        <w:spacing w:after="0" w:line="207" w:lineRule="exact"/>
        <w:rPr>
          <w:rFonts w:ascii="Courier New" w:cs="Courier New" w:eastAsia="Courier New" w:hAnsi="Courier New"/>
          <w:sz w:val="18"/>
          <w:szCs w:val="18"/>
          <w:color w:val="auto"/>
        </w:rPr>
      </w:pPr>
    </w:p>
    <w:p>
      <w:pPr>
        <w:ind w:left="540" w:right="419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accrue losses of $6,389,000 (related tax benefit of $1,884,000 included in Other liabilities) for period February 1, 1994, to acquisition. (These losses include $2,682,000 related to non recurring expenses in connection with the acquisition (bonus pool, transactions</w:t>
      </w:r>
    </w:p>
    <w:p>
      <w:pPr>
        <w:spacing w:after="0" w:line="2"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costs, options and SAR's).</w:t>
      </w:r>
    </w:p>
    <w:p>
      <w:pPr>
        <w:spacing w:after="0" w:line="207" w:lineRule="exact"/>
        <w:rPr>
          <w:rFonts w:ascii="Courier New" w:cs="Courier New" w:eastAsia="Courier New" w:hAnsi="Courier New"/>
          <w:sz w:val="18"/>
          <w:szCs w:val="18"/>
          <w:color w:val="auto"/>
        </w:rPr>
      </w:pPr>
    </w:p>
    <w:p>
      <w:pPr>
        <w:ind w:left="540" w:right="535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transfer from Retained earnings to Capital surplus $9,918,000 of the Group's retained earnings at December 31, 1993 considered to be permanently capitalized undistributed earnings.</w:t>
      </w:r>
    </w:p>
    <w:p>
      <w:pPr>
        <w:spacing w:after="0" w:line="208" w:lineRule="exact"/>
        <w:rPr>
          <w:rFonts w:ascii="Courier New" w:cs="Courier New" w:eastAsia="Courier New" w:hAnsi="Courier New"/>
          <w:sz w:val="18"/>
          <w:szCs w:val="18"/>
          <w:color w:val="auto"/>
        </w:rPr>
      </w:pPr>
    </w:p>
    <w:p>
      <w:pPr>
        <w:ind w:left="540" w:right="493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retire $7,253,375 shares in treasury stock as follows:</w:t>
      </w:r>
    </w:p>
    <w:p>
      <w:pPr>
        <w:sectPr>
          <w:pgSz w:w="11900" w:h="16838" w:orient="portrait"/>
          <w:cols w:equalWidth="0" w:num="1">
            <w:col w:w="10219"/>
          </w:cols>
          <w:pgMar w:left="240" w:top="514" w:right="1440" w:bottom="1440" w:gutter="0" w:footer="0" w:header="0"/>
          <w:type w:val="continuous"/>
        </w:sectPr>
      </w:pPr>
    </w:p>
    <w:p>
      <w:pPr>
        <w:spacing w:after="0" w:line="208" w:lineRule="exact"/>
        <w:rPr>
          <w:sz w:val="20"/>
          <w:szCs w:val="20"/>
          <w:color w:val="auto"/>
        </w:rPr>
      </w:pPr>
    </w:p>
    <w:p>
      <w:pPr>
        <w:ind w:left="540"/>
        <w:spacing w:after="0" w:line="235" w:lineRule="auto"/>
        <w:rPr>
          <w:sz w:val="20"/>
          <w:szCs w:val="20"/>
          <w:color w:val="auto"/>
        </w:rPr>
      </w:pPr>
      <w:r>
        <w:rPr>
          <w:rFonts w:ascii="Courier New" w:cs="Courier New" w:eastAsia="Courier New" w:hAnsi="Courier New"/>
          <w:sz w:val="18"/>
          <w:szCs w:val="18"/>
          <w:color w:val="auto"/>
        </w:rPr>
        <w:t>Common stock $7,253,375 shares @ $.10 par value Capital surplus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ind w:left="100"/>
        <w:spacing w:after="0"/>
        <w:tabs>
          <w:tab w:leader="none" w:pos="5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725</w:t>
      </w:r>
    </w:p>
    <w:p>
      <w:pPr>
        <w:jc w:val="right"/>
        <w:ind w:right="3679"/>
        <w:spacing w:after="0" w:line="238" w:lineRule="auto"/>
        <w:rPr>
          <w:sz w:val="20"/>
          <w:szCs w:val="20"/>
          <w:color w:val="auto"/>
        </w:rPr>
      </w:pPr>
      <w:r>
        <w:rPr>
          <w:rFonts w:ascii="Courier New" w:cs="Courier New" w:eastAsia="Courier New" w:hAnsi="Courier New"/>
          <w:sz w:val="18"/>
          <w:szCs w:val="18"/>
          <w:color w:val="auto"/>
        </w:rPr>
        <w:t>73,415</w:t>
      </w:r>
    </w:p>
    <w:p>
      <w:pPr>
        <w:spacing w:after="0" w:line="5"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8"/>
          <w:szCs w:val="18"/>
          <w:color w:val="auto"/>
        </w:rPr>
        <w:t>$74,140</w:t>
      </w:r>
    </w:p>
    <w:p>
      <w:pPr>
        <w:spacing w:after="0" w:line="4"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5480" w:space="220"/>
            <w:col w:w="4519"/>
          </w:cols>
          <w:pgMar w:left="240" w:top="514" w:right="1440" w:bottom="1440" w:gutter="0" w:footer="0" w:header="0"/>
          <w:type w:val="continuous"/>
        </w:sectPr>
      </w:pPr>
    </w:p>
    <w:p>
      <w:pPr>
        <w:spacing w:after="0"/>
        <w:tabs>
          <w:tab w:leader="none" w:pos="520" w:val="left"/>
        </w:tabs>
        <w:rPr>
          <w:sz w:val="20"/>
          <w:szCs w:val="20"/>
          <w:color w:val="auto"/>
        </w:rPr>
      </w:pPr>
      <w:r>
        <w:rPr>
          <w:rFonts w:ascii="Courier New" w:cs="Courier New" w:eastAsia="Courier New" w:hAnsi="Courier New"/>
          <w:sz w:val="18"/>
          <w:szCs w:val="18"/>
          <w:color w:val="auto"/>
        </w:rPr>
        <w:t>(8)</w:t>
        <w:tab/>
        <w:t>To transfer to Capital Surplus Burnup's</w:t>
      </w:r>
    </w:p>
    <w:p>
      <w:pPr>
        <w:ind w:left="540"/>
        <w:spacing w:after="0" w:line="238" w:lineRule="auto"/>
        <w:rPr>
          <w:sz w:val="20"/>
          <w:szCs w:val="20"/>
          <w:color w:val="auto"/>
        </w:rPr>
      </w:pPr>
      <w:r>
        <w:rPr>
          <w:rFonts w:ascii="Courier New" w:cs="Courier New" w:eastAsia="Courier New" w:hAnsi="Courier New"/>
          <w:sz w:val="18"/>
          <w:szCs w:val="18"/>
          <w:color w:val="auto"/>
        </w:rPr>
        <w:t>Retained earnings of $33,666,000 at</w:t>
      </w:r>
    </w:p>
    <w:p>
      <w:pPr>
        <w:ind w:left="540"/>
        <w:spacing w:after="0"/>
        <w:rPr>
          <w:sz w:val="20"/>
          <w:szCs w:val="20"/>
          <w:color w:val="auto"/>
        </w:rPr>
      </w:pPr>
      <w:r>
        <w:rPr>
          <w:rFonts w:ascii="Courier New" w:cs="Courier New" w:eastAsia="Courier New" w:hAnsi="Courier New"/>
          <w:sz w:val="18"/>
          <w:szCs w:val="18"/>
          <w:color w:val="auto"/>
        </w:rPr>
        <w:t>January 31, 1994.</w:t>
      </w:r>
    </w:p>
    <w:p>
      <w:pPr>
        <w:spacing w:after="0" w:line="3"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Page 27 of 31</w:t>
      </w:r>
    </w:p>
    <w:p>
      <w:pPr>
        <w:sectPr>
          <w:pgSz w:w="11900" w:h="16838" w:orient="portrait"/>
          <w:cols w:equalWidth="0" w:num="1">
            <w:col w:w="10219"/>
          </w:cols>
          <w:pgMar w:left="240" w:top="514" w:right="1440" w:bottom="1440" w:gutter="0" w:footer="0" w:header="0"/>
          <w:type w:val="continuous"/>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 of Operations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3579" w:hanging="532"/>
        <w:spacing w:after="0" w:line="290" w:lineRule="auto"/>
        <w:tabs>
          <w:tab w:leader="none" w:pos="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effect on depreciation and amortization resulting from the adjustments described above as follows:</w:t>
      </w:r>
    </w:p>
    <w:p>
      <w:pPr>
        <w:sectPr>
          <w:pgSz w:w="11900" w:h="16838" w:orient="portrait"/>
          <w:cols w:equalWidth="0" w:num="1">
            <w:col w:w="10219"/>
          </w:cols>
          <w:pgMar w:left="240" w:top="514" w:right="1440" w:bottom="1440" w:gutter="0" w:footer="0" w:header="0"/>
        </w:sectPr>
      </w:pPr>
    </w:p>
    <w:p>
      <w:pPr>
        <w:spacing w:after="0" w:line="170"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1993</w:t>
      </w:r>
    </w:p>
    <w:p>
      <w:pPr>
        <w:spacing w:after="0" w:line="21"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5800" w:space="420"/>
            <w:col w:w="3999"/>
          </w:cols>
          <w:pgMar w:left="240" w:top="514" w:right="1440" w:bottom="1440" w:gutter="0" w:footer="0" w:header="0"/>
          <w:type w:val="continuous"/>
        </w:sectPr>
      </w:pPr>
    </w:p>
    <w:p>
      <w:pPr>
        <w:ind w:left="1060" w:right="5579" w:hanging="525"/>
        <w:spacing w:after="0" w:line="268" w:lineRule="auto"/>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depreciation expense on fair value of buildings which were revalued</w:t>
      </w:r>
    </w:p>
    <w:tbl>
      <w:tblPr>
        <w:tblLayout w:type="fixed"/>
        <w:tblInd w:w="1060" w:type="dxa"/>
        <w:tblCellMar>
          <w:top w:w="0" w:type="dxa"/>
          <w:left w:w="0" w:type="dxa"/>
          <w:bottom w:w="0" w:type="dxa"/>
          <w:right w:w="0" w:type="dxa"/>
        </w:tblCellMar>
      </w:tblPr>
      <w:tr>
        <w:trPr>
          <w:trHeight w:val="199"/>
        </w:trPr>
        <w:tc>
          <w:tcPr>
            <w:tcW w:w="2900" w:type="dxa"/>
            <w:vAlign w:val="bottom"/>
          </w:tcPr>
          <w:p>
            <w:pPr>
              <w:spacing w:after="0" w:line="198" w:lineRule="exact"/>
              <w:rPr>
                <w:sz w:val="20"/>
                <w:szCs w:val="20"/>
                <w:color w:val="auto"/>
              </w:rPr>
            </w:pPr>
            <w:r>
              <w:rPr>
                <w:rFonts w:ascii="Courier New" w:cs="Courier New" w:eastAsia="Courier New" w:hAnsi="Courier New"/>
                <w:sz w:val="18"/>
                <w:szCs w:val="18"/>
                <w:color w:val="auto"/>
              </w:rPr>
              <w:t>(20 year life)</w:t>
            </w:r>
          </w:p>
        </w:tc>
        <w:tc>
          <w:tcPr>
            <w:tcW w:w="2060" w:type="dxa"/>
            <w:vAlign w:val="bottom"/>
          </w:tcPr>
          <w:p>
            <w:pPr>
              <w:jc w:val="right"/>
              <w:ind w:right="132"/>
              <w:spacing w:after="0" w:line="198" w:lineRule="exact"/>
              <w:rPr>
                <w:sz w:val="20"/>
                <w:szCs w:val="20"/>
                <w:color w:val="auto"/>
              </w:rPr>
            </w:pPr>
            <w:r>
              <w:rPr>
                <w:rFonts w:ascii="Courier New" w:cs="Courier New" w:eastAsia="Courier New" w:hAnsi="Courier New"/>
                <w:sz w:val="18"/>
                <w:szCs w:val="18"/>
                <w:color w:val="auto"/>
              </w:rPr>
              <w:t>$279</w:t>
            </w:r>
          </w:p>
        </w:tc>
        <w:tc>
          <w:tcPr>
            <w:tcW w:w="6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$279</w:t>
            </w:r>
          </w:p>
        </w:tc>
      </w:tr>
    </w:tbl>
    <w:p>
      <w:pPr>
        <w:spacing w:after="0" w:line="4" w:lineRule="exact"/>
        <w:rPr>
          <w:sz w:val="20"/>
          <w:szCs w:val="20"/>
          <w:color w:val="auto"/>
        </w:rPr>
      </w:pPr>
    </w:p>
    <w:p>
      <w:pPr>
        <w:ind w:left="1060" w:right="5059" w:hanging="525"/>
        <w:spacing w:after="0" w:line="268" w:lineRule="auto"/>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elimination of historical depreciation-of revalued buildings per</w:t>
      </w:r>
    </w:p>
    <w:tbl>
      <w:tblPr>
        <w:tblLayout w:type="fixed"/>
        <w:tblInd w:w="1060" w:type="dxa"/>
        <w:tblCellMar>
          <w:top w:w="0" w:type="dxa"/>
          <w:left w:w="0" w:type="dxa"/>
          <w:bottom w:w="0" w:type="dxa"/>
          <w:right w:w="0" w:type="dxa"/>
        </w:tblCellMar>
      </w:tblPr>
      <w:tr>
        <w:trPr>
          <w:trHeight w:val="199"/>
        </w:trPr>
        <w:tc>
          <w:tcPr>
            <w:tcW w:w="2640" w:type="dxa"/>
            <w:vAlign w:val="bottom"/>
          </w:tcPr>
          <w:p>
            <w:pPr>
              <w:spacing w:after="0" w:line="198" w:lineRule="exact"/>
              <w:rPr>
                <w:sz w:val="20"/>
                <w:szCs w:val="20"/>
                <w:color w:val="auto"/>
              </w:rPr>
            </w:pPr>
            <w:r>
              <w:rPr>
                <w:rFonts w:ascii="Courier New" w:cs="Courier New" w:eastAsia="Courier New" w:hAnsi="Courier New"/>
                <w:sz w:val="18"/>
                <w:szCs w:val="18"/>
                <w:color w:val="auto"/>
              </w:rPr>
              <w:t>(a) above</w:t>
            </w:r>
          </w:p>
        </w:tc>
        <w:tc>
          <w:tcPr>
            <w:tcW w:w="30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(556)   (556)</w:t>
            </w:r>
          </w:p>
        </w:tc>
      </w:tr>
    </w:tbl>
    <w:p>
      <w:pPr>
        <w:spacing w:after="0" w:line="4" w:lineRule="exact"/>
        <w:rPr>
          <w:sz w:val="20"/>
          <w:szCs w:val="20"/>
          <w:color w:val="auto"/>
        </w:rPr>
      </w:pPr>
    </w:p>
    <w:p>
      <w:pPr>
        <w:ind w:left="1060" w:right="5579" w:hanging="525"/>
        <w:spacing w:after="0" w:line="268" w:lineRule="auto"/>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elimination of historical goodwill amortization and writedown of</w:t>
      </w:r>
    </w:p>
    <w:p>
      <w:pPr>
        <w:ind w:left="1060"/>
        <w:spacing w:after="0"/>
        <w:tabs>
          <w:tab w:leader="none" w:pos="5140" w:val="left"/>
          <w:tab w:leader="none" w:pos="6200" w:val="left"/>
        </w:tabs>
        <w:rPr>
          <w:sz w:val="20"/>
          <w:szCs w:val="20"/>
          <w:color w:val="auto"/>
        </w:rPr>
      </w:pPr>
      <w:r>
        <w:rPr>
          <w:rFonts w:ascii="Courier New" w:cs="Courier New" w:eastAsia="Courier New" w:hAnsi="Courier New"/>
          <w:sz w:val="18"/>
          <w:szCs w:val="18"/>
          <w:color w:val="auto"/>
        </w:rPr>
        <w:t>Goodwill in April 1993 of $2,017,000</w:t>
        <w:tab/>
        <w:t>(2,365)</w:t>
      </w:r>
      <w:r>
        <w:rPr>
          <w:sz w:val="20"/>
          <w:szCs w:val="20"/>
          <w:color w:val="auto"/>
        </w:rPr>
        <w:tab/>
      </w:r>
      <w:r>
        <w:rPr>
          <w:rFonts w:ascii="Courier New" w:cs="Courier New" w:eastAsia="Courier New" w:hAnsi="Courier New"/>
          <w:sz w:val="16"/>
          <w:szCs w:val="16"/>
          <w:color w:val="auto"/>
        </w:rPr>
        <w:t>(348)</w:t>
      </w:r>
    </w:p>
    <w:p>
      <w:pPr>
        <w:ind w:left="1060" w:hanging="525"/>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amortization of goodwill on acquisition</w:t>
      </w:r>
    </w:p>
    <w:tbl>
      <w:tblPr>
        <w:tblLayout w:type="fixed"/>
        <w:tblInd w:w="1060" w:type="dxa"/>
        <w:tblCellMar>
          <w:top w:w="0" w:type="dxa"/>
          <w:left w:w="0" w:type="dxa"/>
          <w:bottom w:w="0" w:type="dxa"/>
          <w:right w:w="0" w:type="dxa"/>
        </w:tblCellMar>
      </w:tblPr>
      <w:tr>
        <w:trPr>
          <w:trHeight w:val="202"/>
        </w:trPr>
        <w:tc>
          <w:tcPr>
            <w:tcW w:w="3100" w:type="dxa"/>
            <w:vAlign w:val="bottom"/>
          </w:tcPr>
          <w:p>
            <w:pPr>
              <w:spacing w:after="0" w:line="202" w:lineRule="exact"/>
              <w:rPr>
                <w:sz w:val="20"/>
                <w:szCs w:val="20"/>
                <w:color w:val="auto"/>
              </w:rPr>
            </w:pPr>
            <w:r>
              <w:rPr>
                <w:rFonts w:ascii="Courier New" w:cs="Courier New" w:eastAsia="Courier New" w:hAnsi="Courier New"/>
                <w:sz w:val="18"/>
                <w:szCs w:val="18"/>
                <w:color w:val="auto"/>
              </w:rPr>
              <w:t>of Burnup (20 years)</w:t>
            </w:r>
          </w:p>
        </w:tc>
        <w:tc>
          <w:tcPr>
            <w:tcW w:w="190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192</w:t>
            </w:r>
          </w:p>
        </w:tc>
        <w:tc>
          <w:tcPr>
            <w:tcW w:w="80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192</w:t>
            </w:r>
          </w:p>
        </w:tc>
      </w:tr>
      <w:tr>
        <w:trPr>
          <w:trHeight w:val="203"/>
        </w:trPr>
        <w:tc>
          <w:tcPr>
            <w:tcW w:w="3100" w:type="dxa"/>
            <w:vAlign w:val="bottom"/>
          </w:tcPr>
          <w:p>
            <w:pPr>
              <w:spacing w:after="0"/>
              <w:rPr>
                <w:sz w:val="17"/>
                <w:szCs w:val="17"/>
                <w:color w:val="auto"/>
              </w:rPr>
            </w:pPr>
          </w:p>
        </w:tc>
        <w:tc>
          <w:tcPr>
            <w:tcW w:w="19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5"/>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00" w:type="dxa"/>
            <w:vAlign w:val="bottom"/>
          </w:tcPr>
          <w:p>
            <w:pPr>
              <w:spacing w:after="0"/>
              <w:rPr>
                <w:sz w:val="24"/>
                <w:szCs w:val="24"/>
                <w:color w:val="auto"/>
              </w:rPr>
            </w:pPr>
          </w:p>
        </w:tc>
        <w:tc>
          <w:tcPr>
            <w:tcW w:w="1900" w:type="dxa"/>
            <w:vAlign w:val="bottom"/>
          </w:tcPr>
          <w:p>
            <w:pPr>
              <w:jc w:val="center"/>
              <w:ind w:left="872"/>
              <w:spacing w:after="0"/>
              <w:rPr>
                <w:sz w:val="20"/>
                <w:szCs w:val="20"/>
                <w:color w:val="auto"/>
              </w:rPr>
            </w:pPr>
            <w:r>
              <w:rPr>
                <w:rFonts w:ascii="Courier New" w:cs="Courier New" w:eastAsia="Courier New" w:hAnsi="Courier New"/>
                <w:sz w:val="18"/>
                <w:szCs w:val="18"/>
                <w:color w:val="auto"/>
                <w:w w:val="99"/>
              </w:rPr>
              <w:t>($2,450)</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($433)</w:t>
            </w:r>
          </w:p>
        </w:tc>
      </w:tr>
      <w:tr>
        <w:trPr>
          <w:trHeight w:val="203"/>
        </w:trPr>
        <w:tc>
          <w:tcPr>
            <w:tcW w:w="3100" w:type="dxa"/>
            <w:vAlign w:val="bottom"/>
          </w:tcPr>
          <w:p>
            <w:pPr>
              <w:spacing w:after="0"/>
              <w:rPr>
                <w:sz w:val="17"/>
                <w:szCs w:val="17"/>
                <w:color w:val="auto"/>
              </w:rPr>
            </w:pPr>
          </w:p>
        </w:tc>
        <w:tc>
          <w:tcPr>
            <w:tcW w:w="19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9"/>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039" w:hanging="532"/>
        <w:spacing w:after="0" w:line="236"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increase in interest expenses as a result of the notes payable issued to the CT Group shareholders for dividends payable.</w:t>
      </w:r>
    </w:p>
    <w:p>
      <w:pPr>
        <w:spacing w:after="0" w:line="208" w:lineRule="exact"/>
        <w:rPr>
          <w:rFonts w:ascii="Courier New" w:cs="Courier New" w:eastAsia="Courier New" w:hAnsi="Courier New"/>
          <w:sz w:val="18"/>
          <w:szCs w:val="18"/>
          <w:color w:val="auto"/>
        </w:rPr>
      </w:pPr>
    </w:p>
    <w:p>
      <w:pPr>
        <w:ind w:left="540" w:right="2939" w:hanging="532"/>
        <w:spacing w:after="0" w:line="268"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reverse interest income earned on NBC Subordinated Debentures and other indebtedness and reduced other income as a</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result of decreased cash.</w:t>
      </w:r>
    </w:p>
    <w:p>
      <w:pPr>
        <w:spacing w:after="0" w:line="207" w:lineRule="exact"/>
        <w:rPr>
          <w:rFonts w:ascii="Courier New" w:cs="Courier New" w:eastAsia="Courier New" w:hAnsi="Courier New"/>
          <w:sz w:val="16"/>
          <w:szCs w:val="16"/>
          <w:color w:val="auto"/>
        </w:rPr>
      </w:pPr>
    </w:p>
    <w:p>
      <w:pPr>
        <w:ind w:left="540" w:right="3159" w:hanging="532"/>
        <w:spacing w:after="0" w:line="290"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income tax benefit on pro forma adjustments and to record tax provision on the income of the CT Group as follows:</w:t>
      </w:r>
    </w:p>
    <w:p>
      <w:pPr>
        <w:sectPr>
          <w:pgSz w:w="11900" w:h="16838" w:orient="portrait"/>
          <w:cols w:equalWidth="0" w:num="1">
            <w:col w:w="10219"/>
          </w:cols>
          <w:pgMar w:left="240" w:top="514" w:right="1440" w:bottom="1440" w:gutter="0" w:footer="0" w:header="0"/>
          <w:type w:val="continuous"/>
        </w:sectPr>
      </w:pPr>
    </w:p>
    <w:p>
      <w:pPr>
        <w:spacing w:after="0" w:line="170"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1993</w:t>
      </w:r>
    </w:p>
    <w:p>
      <w:pPr>
        <w:spacing w:after="0" w:line="2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5060" w:space="420"/>
            <w:col w:w="4739"/>
          </w:cols>
          <w:pgMar w:left="240" w:top="514" w:right="1440" w:bottom="1440" w:gutter="0" w:footer="0" w:header="0"/>
          <w:type w:val="continuous"/>
        </w:sect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benefit on pro forma</w:t>
      </w:r>
    </w:p>
    <w:tbl>
      <w:tblPr>
        <w:tblLayout w:type="fixed"/>
        <w:tblInd w:w="1060" w:type="dxa"/>
        <w:tblCellMar>
          <w:top w:w="0" w:type="dxa"/>
          <w:left w:w="0" w:type="dxa"/>
          <w:bottom w:w="0" w:type="dxa"/>
          <w:right w:w="0" w:type="dxa"/>
        </w:tblCellMar>
      </w:tblP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$2,536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$3,105</w:t>
            </w:r>
          </w:p>
        </w:tc>
      </w:tr>
    </w:tbl>
    <w:p>
      <w:pPr>
        <w:ind w:left="1060" w:hanging="525"/>
        <w:spacing w:after="0" w:line="238" w:lineRule="auto"/>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provision on the income</w:t>
      </w:r>
    </w:p>
    <w:tbl>
      <w:tblPr>
        <w:tblLayout w:type="fixed"/>
        <w:tblInd w:w="1060" w:type="dxa"/>
        <w:tblCellMar>
          <w:top w:w="0" w:type="dxa"/>
          <w:left w:w="0" w:type="dxa"/>
          <w:bottom w:w="0" w:type="dxa"/>
          <w:right w:w="0" w:type="dxa"/>
        </w:tblCellMar>
      </w:tblPr>
      <w:tr>
        <w:trPr>
          <w:trHeight w:val="203"/>
        </w:trPr>
        <w:tc>
          <w:tcPr>
            <w:tcW w:w="2520" w:type="dxa"/>
            <w:vAlign w:val="bottom"/>
          </w:tcPr>
          <w:p>
            <w:pPr>
              <w:spacing w:after="0"/>
              <w:rPr>
                <w:sz w:val="20"/>
                <w:szCs w:val="20"/>
                <w:color w:val="auto"/>
              </w:rPr>
            </w:pPr>
            <w:r>
              <w:rPr>
                <w:rFonts w:ascii="Courier New" w:cs="Courier New" w:eastAsia="Courier New" w:hAnsi="Courier New"/>
                <w:sz w:val="18"/>
                <w:szCs w:val="18"/>
                <w:color w:val="auto"/>
              </w:rPr>
              <w:t>of the CT Group</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(845)</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(970)</w:t>
            </w:r>
          </w:p>
        </w:tc>
      </w:tr>
      <w:tr>
        <w:trPr>
          <w:trHeight w:val="203"/>
        </w:trPr>
        <w:tc>
          <w:tcPr>
            <w:tcW w:w="252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20" w:type="dxa"/>
            <w:vAlign w:val="bottom"/>
          </w:tcPr>
          <w:p>
            <w:pPr>
              <w:spacing w:after="0"/>
              <w:rPr>
                <w:sz w:val="24"/>
                <w:szCs w:val="24"/>
                <w:color w:val="auto"/>
              </w:rPr>
            </w:pP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$1,691</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$2,135</w:t>
            </w:r>
          </w:p>
        </w:tc>
      </w:tr>
      <w:tr>
        <w:trPr>
          <w:trHeight w:val="203"/>
        </w:trPr>
        <w:tc>
          <w:tcPr>
            <w:tcW w:w="252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159" w:hanging="532"/>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for redemption and issuance of shares as in the notes to the pro forma balance sheet.</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8"/>
          <w:szCs w:val="18"/>
          <w:color w:val="auto"/>
        </w:rPr>
        <w:t>Page 28 of 31</w:t>
      </w:r>
    </w:p>
    <w:p>
      <w:pPr>
        <w:sectPr>
          <w:pgSz w:w="11900" w:h="16838" w:orient="portrait"/>
          <w:cols w:equalWidth="0" w:num="1">
            <w:col w:w="10219"/>
          </w:cols>
          <w:pgMar w:left="240" w:top="514" w:right="1440" w:bottom="1440" w:gutter="0" w:footer="0" w:header="0"/>
          <w:type w:val="continuous"/>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FINANCIAL STATEMENT SCHEDULES</w:t>
      </w:r>
    </w:p>
    <w:p>
      <w:pPr>
        <w:spacing w:after="0"/>
        <w:rPr>
          <w:sz w:val="20"/>
          <w:szCs w:val="20"/>
          <w:color w:val="auto"/>
        </w:rPr>
      </w:pPr>
      <w:r>
        <w:rPr>
          <w:rFonts w:ascii="Courier New" w:cs="Courier New" w:eastAsia="Courier New" w:hAnsi="Courier New"/>
          <w:sz w:val="18"/>
          <w:szCs w:val="18"/>
          <w:color w:val="auto"/>
        </w:rPr>
        <w:t>DECEMBER 31, 1993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gridSpan w:val="5"/>
          </w:tcPr>
          <w:p>
            <w:pPr>
              <w:spacing w:after="0"/>
              <w:rPr>
                <w:sz w:val="20"/>
                <w:szCs w:val="20"/>
                <w:color w:val="auto"/>
              </w:rPr>
            </w:pPr>
            <w:r>
              <w:rPr>
                <w:rFonts w:ascii="Courier New" w:cs="Courier New" w:eastAsia="Courier New" w:hAnsi="Courier New"/>
                <w:sz w:val="18"/>
                <w:szCs w:val="18"/>
                <w:color w:val="auto"/>
              </w:rPr>
              <w:t>SCHEDULE V - PROPERTY, PLANT and EQUIPMENT</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BALANCE</w:t>
            </w:r>
          </w:p>
        </w:tc>
        <w:tc>
          <w:tcPr>
            <w:tcW w:w="2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4"/>
              </w:rPr>
              <w:t>ADDITIONS</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BALANCE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12/31/92</w:t>
            </w:r>
          </w:p>
        </w:tc>
        <w:tc>
          <w:tcPr>
            <w:tcW w:w="2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AT COST</w:t>
            </w:r>
          </w:p>
        </w:tc>
        <w:tc>
          <w:tcPr>
            <w:tcW w:w="1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RETIREMENTS</w:t>
            </w:r>
          </w:p>
        </w:tc>
        <w:tc>
          <w:tcPr>
            <w:tcW w:w="3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12/31/93</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LAND</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216,395</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216,395</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BUILDINGS &amp; IMPROVEMENTS</w:t>
            </w: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526,942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526,942</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MACHINERY &amp; EQUIPMENT</w:t>
            </w: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4,262,138</w:t>
            </w:r>
          </w:p>
        </w:tc>
        <w:tc>
          <w:tcPr>
            <w:tcW w:w="1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$ 2,095,742</w:t>
            </w:r>
          </w:p>
        </w:tc>
        <w:tc>
          <w:tcPr>
            <w:tcW w:w="15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$ 1,476,792</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4,881,088</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FURNITURE &amp; FIXTURES</w:t>
            </w: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457,473</w:t>
            </w:r>
          </w:p>
        </w:tc>
        <w:tc>
          <w:tcPr>
            <w:tcW w:w="2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33,282</w:t>
            </w:r>
          </w:p>
        </w:tc>
        <w:tc>
          <w:tcPr>
            <w:tcW w:w="22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48,365</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442,390</w:t>
            </w:r>
          </w:p>
        </w:tc>
      </w:tr>
      <w:tr>
        <w:trPr>
          <w:trHeight w:val="203"/>
        </w:trPr>
        <w:tc>
          <w:tcPr>
            <w:tcW w:w="2580" w:type="dxa"/>
            <w:vAlign w:val="bottom"/>
          </w:tcPr>
          <w:p>
            <w:pPr>
              <w:spacing w:after="0"/>
              <w:rPr>
                <w:sz w:val="17"/>
                <w:szCs w:val="17"/>
                <w:color w:val="auto"/>
              </w:rPr>
            </w:pP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$5,462,948</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$ 2,129,024</w:t>
            </w: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$ 1,525,157</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$ 6,066,815</w:t>
            </w:r>
          </w:p>
        </w:tc>
      </w:tr>
      <w:tr>
        <w:trPr>
          <w:trHeight w:val="203"/>
        </w:trPr>
        <w:tc>
          <w:tcPr>
            <w:tcW w:w="2580" w:type="dxa"/>
            <w:vAlign w:val="bottom"/>
          </w:tcPr>
          <w:p>
            <w:pPr>
              <w:spacing w:after="0"/>
              <w:rPr>
                <w:sz w:val="17"/>
                <w:szCs w:val="17"/>
                <w:color w:val="auto"/>
              </w:rPr>
            </w:pP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BALANCE</w:t>
            </w:r>
          </w:p>
        </w:tc>
        <w:tc>
          <w:tcPr>
            <w:tcW w:w="2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ADDITIONS</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BALANCE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12/31/91</w:t>
            </w:r>
          </w:p>
        </w:tc>
        <w:tc>
          <w:tcPr>
            <w:tcW w:w="2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AT COST</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RETIREMENTS</w:t>
            </w:r>
          </w:p>
        </w:tc>
        <w:tc>
          <w:tcPr>
            <w:tcW w:w="3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12/31/92</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LAND</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216,395</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216,395</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BUILDINGS &amp; IMPROVEMENTS</w:t>
            </w: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526,942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526,942</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MACHINERY &amp; EQUIPMENT</w:t>
            </w: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2,780,098</w:t>
            </w:r>
          </w:p>
        </w:tc>
        <w:tc>
          <w:tcPr>
            <w:tcW w:w="1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$1,482,040</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4,262,138</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FURNITURE &amp; FIXTURES</w:t>
            </w: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399,318</w:t>
            </w:r>
          </w:p>
        </w:tc>
        <w:tc>
          <w:tcPr>
            <w:tcW w:w="2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58,155</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457,473</w:t>
            </w:r>
          </w:p>
        </w:tc>
      </w:tr>
      <w:tr>
        <w:trPr>
          <w:trHeight w:val="203"/>
        </w:trPr>
        <w:tc>
          <w:tcPr>
            <w:tcW w:w="2580" w:type="dxa"/>
            <w:vAlign w:val="bottom"/>
          </w:tcPr>
          <w:p>
            <w:pPr>
              <w:spacing w:after="0"/>
              <w:rPr>
                <w:sz w:val="17"/>
                <w:szCs w:val="17"/>
                <w:color w:val="auto"/>
              </w:rPr>
            </w:pP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$3,922,753</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$1,540,195</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$ 5,462,948</w:t>
            </w:r>
          </w:p>
        </w:tc>
      </w:tr>
      <w:tr>
        <w:trPr>
          <w:trHeight w:val="203"/>
        </w:trPr>
        <w:tc>
          <w:tcPr>
            <w:tcW w:w="2580" w:type="dxa"/>
            <w:vAlign w:val="bottom"/>
          </w:tcPr>
          <w:p>
            <w:pPr>
              <w:spacing w:after="0"/>
              <w:rPr>
                <w:sz w:val="17"/>
                <w:szCs w:val="17"/>
                <w:color w:val="auto"/>
              </w:rPr>
            </w:pP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BALANCE</w:t>
            </w:r>
          </w:p>
        </w:tc>
        <w:tc>
          <w:tcPr>
            <w:tcW w:w="2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4"/>
              </w:rPr>
              <w:t>ADDITIONS</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BALANCE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1991</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12/31/90</w:t>
            </w:r>
          </w:p>
        </w:tc>
        <w:tc>
          <w:tcPr>
            <w:tcW w:w="2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AT COST</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RETIREMENTS</w:t>
            </w:r>
          </w:p>
        </w:tc>
        <w:tc>
          <w:tcPr>
            <w:tcW w:w="3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12/31/91</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LAND</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216,395</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216,395</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BUILDINGS &amp; IMPROVEMENTS</w:t>
            </w: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525,410</w:t>
            </w:r>
          </w:p>
        </w:tc>
        <w:tc>
          <w:tcPr>
            <w:tcW w:w="220" w:type="dxa"/>
            <w:vAlign w:val="bottom"/>
          </w:tcPr>
          <w:p>
            <w:pPr>
              <w:ind w:left="100"/>
              <w:spacing w:after="0"/>
              <w:rPr>
                <w:sz w:val="20"/>
                <w:szCs w:val="20"/>
                <w:color w:val="auto"/>
              </w:rPr>
            </w:pPr>
            <w:r>
              <w:rPr>
                <w:rFonts w:ascii="Courier New" w:cs="Courier New" w:eastAsia="Courier New" w:hAnsi="Courier New"/>
                <w:sz w:val="18"/>
                <w:szCs w:val="18"/>
                <w:color w:val="auto"/>
                <w:w w:val="92"/>
              </w:rPr>
              <w:t>$</w:t>
            </w:r>
          </w:p>
        </w:tc>
        <w:tc>
          <w:tcPr>
            <w:tcW w:w="11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1,532</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526,942</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MACHINERY &amp; EQUIPMENT</w:t>
            </w: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2,433,162</w:t>
            </w:r>
          </w:p>
        </w:tc>
        <w:tc>
          <w:tcPr>
            <w:tcW w:w="2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652,212</w:t>
            </w:r>
          </w:p>
        </w:tc>
        <w:tc>
          <w:tcPr>
            <w:tcW w:w="220" w:type="dxa"/>
            <w:vAlign w:val="bottom"/>
          </w:tcPr>
          <w:p>
            <w:pPr>
              <w:ind w:left="120"/>
              <w:spacing w:after="0"/>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305,276</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2,780,098</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FURNITURE &amp; FIXTURES</w:t>
            </w: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383,419</w:t>
            </w:r>
          </w:p>
        </w:tc>
        <w:tc>
          <w:tcPr>
            <w:tcW w:w="2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15,899</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399,318</w:t>
            </w:r>
          </w:p>
        </w:tc>
      </w:tr>
      <w:tr>
        <w:trPr>
          <w:trHeight w:val="203"/>
        </w:trPr>
        <w:tc>
          <w:tcPr>
            <w:tcW w:w="2580" w:type="dxa"/>
            <w:vAlign w:val="bottom"/>
          </w:tcPr>
          <w:p>
            <w:pPr>
              <w:spacing w:after="0"/>
              <w:rPr>
                <w:sz w:val="17"/>
                <w:szCs w:val="17"/>
                <w:color w:val="auto"/>
              </w:rPr>
            </w:pP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$3,558,386</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669,643</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337,743</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$ 3,922,753</w:t>
            </w:r>
          </w:p>
        </w:tc>
      </w:tr>
      <w:tr>
        <w:trPr>
          <w:trHeight w:val="203"/>
        </w:trPr>
        <w:tc>
          <w:tcPr>
            <w:tcW w:w="2580" w:type="dxa"/>
            <w:vAlign w:val="bottom"/>
          </w:tcPr>
          <w:p>
            <w:pPr>
              <w:spacing w:after="0"/>
              <w:rPr>
                <w:sz w:val="17"/>
                <w:szCs w:val="17"/>
                <w:color w:val="auto"/>
              </w:rPr>
            </w:pP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Page 29 of 31</w:t>
      </w:r>
    </w:p>
    <w:p>
      <w:pPr>
        <w:sectPr>
          <w:pgSz w:w="11900" w:h="16838" w:orient="portrait"/>
          <w:cols w:equalWidth="0" w:num="1">
            <w:col w:w="10219"/>
          </w:cols>
          <w:pgMar w:left="240" w:top="514"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FINANCIAL STATEMENT SCHEDULES</w:t>
      </w:r>
    </w:p>
    <w:p>
      <w:pPr>
        <w:spacing w:after="0"/>
        <w:rPr>
          <w:sz w:val="20"/>
          <w:szCs w:val="20"/>
          <w:color w:val="auto"/>
        </w:rPr>
      </w:pPr>
      <w:r>
        <w:rPr>
          <w:rFonts w:ascii="Courier New" w:cs="Courier New" w:eastAsia="Courier New" w:hAnsi="Courier New"/>
          <w:sz w:val="18"/>
          <w:szCs w:val="18"/>
          <w:color w:val="auto"/>
        </w:rPr>
        <w:t>DECEMBER 31, 1993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SCHEDULE VI</w:t>
            </w:r>
          </w:p>
        </w:tc>
        <w:tc>
          <w:tcPr>
            <w:tcW w:w="29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 ACCUMULATED DEPRECIATION</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ADDITIONS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BALANCE</w:t>
            </w:r>
          </w:p>
        </w:tc>
        <w:tc>
          <w:tcPr>
            <w:tcW w:w="1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CHARGED TO</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BALANCE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15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12/31/92</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EXPENSES</w:t>
            </w:r>
          </w:p>
        </w:tc>
        <w:tc>
          <w:tcPr>
            <w:tcW w:w="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RETIREMENTS</w:t>
            </w:r>
          </w:p>
        </w:tc>
        <w:tc>
          <w:tcPr>
            <w:tcW w:w="3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12/31/93</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BUILDINGS &amp;</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w w:val="95"/>
              </w:rPr>
              <w:t>IMPROVEMENTS $</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203,310</w:t>
            </w: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18,367</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221,677</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MACHINERY &amp;</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rPr>
              <w:t>EQUIPMENT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1,302,941</w:t>
            </w:r>
          </w:p>
        </w:tc>
        <w:tc>
          <w:tcPr>
            <w:tcW w:w="32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524,416</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981,867</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845,490</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FURNITURE &amp;</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rPr>
              <w:t>FIXTURES</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300,842</w:t>
            </w:r>
          </w:p>
        </w:tc>
        <w:tc>
          <w:tcPr>
            <w:tcW w:w="32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66,485</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367,327</w:t>
            </w:r>
          </w:p>
        </w:tc>
      </w:tr>
      <w:tr>
        <w:trPr>
          <w:trHeight w:val="203"/>
        </w:trPr>
        <w:tc>
          <w:tcPr>
            <w:tcW w:w="1220" w:type="dxa"/>
            <w:vAlign w:val="bottom"/>
          </w:tcPr>
          <w:p>
            <w:pPr>
              <w:spacing w:after="0"/>
              <w:rPr>
                <w:sz w:val="17"/>
                <w:szCs w:val="17"/>
                <w:color w:val="auto"/>
              </w:rPr>
            </w:pPr>
          </w:p>
        </w:tc>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w:t>
            </w:r>
          </w:p>
        </w:tc>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$1,807,093</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609,268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981,867</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$ 1,434,494</w:t>
            </w:r>
          </w:p>
        </w:tc>
      </w:tr>
      <w:tr>
        <w:trPr>
          <w:trHeight w:val="203"/>
        </w:trPr>
        <w:tc>
          <w:tcPr>
            <w:tcW w:w="1220" w:type="dxa"/>
            <w:vAlign w:val="bottom"/>
          </w:tcPr>
          <w:p>
            <w:pPr>
              <w:spacing w:after="0"/>
              <w:rPr>
                <w:sz w:val="17"/>
                <w:szCs w:val="17"/>
                <w:color w:val="auto"/>
              </w:rPr>
            </w:pPr>
          </w:p>
        </w:tc>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80" w:type="dxa"/>
            <w:vAlign w:val="bottom"/>
            <w:gridSpan w:val="3"/>
          </w:tcPr>
          <w:p>
            <w:pPr>
              <w:jc w:val="right"/>
              <w:ind w:right="492"/>
              <w:spacing w:after="0"/>
              <w:rPr>
                <w:sz w:val="20"/>
                <w:szCs w:val="20"/>
                <w:color w:val="auto"/>
              </w:rPr>
            </w:pPr>
            <w:r>
              <w:rPr>
                <w:rFonts w:ascii="Courier New" w:cs="Courier New" w:eastAsia="Courier New" w:hAnsi="Courier New"/>
                <w:sz w:val="18"/>
                <w:szCs w:val="18"/>
                <w:color w:val="auto"/>
              </w:rPr>
              <w:t>ADDITIONS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BALANCE</w:t>
            </w:r>
          </w:p>
        </w:tc>
        <w:tc>
          <w:tcPr>
            <w:tcW w:w="1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CHARGED TO</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BALANCE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15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12/31/92</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EXPENSES</w:t>
            </w:r>
          </w:p>
        </w:tc>
        <w:tc>
          <w:tcPr>
            <w:tcW w:w="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RETIREMENTS</w:t>
            </w:r>
          </w:p>
        </w:tc>
        <w:tc>
          <w:tcPr>
            <w:tcW w:w="3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12/31/93</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BUILDINGS &amp;</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w w:val="95"/>
              </w:rPr>
              <w:t>IMPROVEMENTS $</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184,943</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18,367</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203,310</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MACHINERY &amp;</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rPr>
              <w:t>EQUIPMENT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1,096,772</w:t>
            </w:r>
          </w:p>
        </w:tc>
        <w:tc>
          <w:tcPr>
            <w:tcW w:w="32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206,169</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1,302,941</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FURNITURE &amp;</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rPr>
              <w:t>FIXTURES</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234,921</w:t>
            </w:r>
          </w:p>
        </w:tc>
        <w:tc>
          <w:tcPr>
            <w:tcW w:w="32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65,921</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300,842</w:t>
            </w:r>
          </w:p>
        </w:tc>
      </w:tr>
      <w:tr>
        <w:trPr>
          <w:trHeight w:val="203"/>
        </w:trPr>
        <w:tc>
          <w:tcPr>
            <w:tcW w:w="1220" w:type="dxa"/>
            <w:vAlign w:val="bottom"/>
          </w:tcPr>
          <w:p>
            <w:pPr>
              <w:spacing w:after="0"/>
              <w:rPr>
                <w:sz w:val="17"/>
                <w:szCs w:val="17"/>
                <w:color w:val="auto"/>
              </w:rPr>
            </w:pPr>
          </w:p>
        </w:tc>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w:t>
            </w:r>
          </w:p>
        </w:tc>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$1,516,636</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290,457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$ 1,807,093</w:t>
            </w:r>
          </w:p>
        </w:tc>
      </w:tr>
      <w:tr>
        <w:trPr>
          <w:trHeight w:val="203"/>
        </w:trPr>
        <w:tc>
          <w:tcPr>
            <w:tcW w:w="1220" w:type="dxa"/>
            <w:vAlign w:val="bottom"/>
          </w:tcPr>
          <w:p>
            <w:pPr>
              <w:spacing w:after="0"/>
              <w:rPr>
                <w:sz w:val="17"/>
                <w:szCs w:val="17"/>
                <w:color w:val="auto"/>
              </w:rPr>
            </w:pPr>
          </w:p>
        </w:tc>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ADDITIONS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BALANCE</w:t>
            </w:r>
          </w:p>
        </w:tc>
        <w:tc>
          <w:tcPr>
            <w:tcW w:w="1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CHARGED TO</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BALANCE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1991</w:t>
            </w:r>
          </w:p>
        </w:tc>
        <w:tc>
          <w:tcPr>
            <w:tcW w:w="15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12/31/92</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EXPENSES</w:t>
            </w:r>
          </w:p>
        </w:tc>
        <w:tc>
          <w:tcPr>
            <w:tcW w:w="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RETIREMENTS</w:t>
            </w:r>
          </w:p>
        </w:tc>
        <w:tc>
          <w:tcPr>
            <w:tcW w:w="3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12/31/93</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BUILDINGS &amp;</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w w:val="95"/>
              </w:rPr>
              <w:t>IMPROVEMENTS $</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166,576</w:t>
            </w: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18,367</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184,943</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MACHINERY &amp;</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rPr>
              <w:t>EQUIPMENT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1,143,209</w:t>
            </w:r>
          </w:p>
        </w:tc>
        <w:tc>
          <w:tcPr>
            <w:tcW w:w="32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262,624</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309,061</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1,096,772</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FURNITURE &amp;</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rPr>
              <w:t>FIXTURES</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180,745</w:t>
            </w:r>
          </w:p>
        </w:tc>
        <w:tc>
          <w:tcPr>
            <w:tcW w:w="32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54,176</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234,921</w:t>
            </w:r>
          </w:p>
        </w:tc>
      </w:tr>
      <w:tr>
        <w:trPr>
          <w:trHeight w:val="203"/>
        </w:trPr>
        <w:tc>
          <w:tcPr>
            <w:tcW w:w="1220" w:type="dxa"/>
            <w:vAlign w:val="bottom"/>
          </w:tcPr>
          <w:p>
            <w:pPr>
              <w:spacing w:after="0"/>
              <w:rPr>
                <w:sz w:val="17"/>
                <w:szCs w:val="17"/>
                <w:color w:val="auto"/>
              </w:rPr>
            </w:pPr>
          </w:p>
        </w:tc>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w:t>
            </w:r>
          </w:p>
        </w:tc>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$1,490,530</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335,167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309,061</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$ 1,516,636</w:t>
            </w:r>
          </w:p>
        </w:tc>
      </w:tr>
      <w:tr>
        <w:trPr>
          <w:trHeight w:val="203"/>
        </w:trPr>
        <w:tc>
          <w:tcPr>
            <w:tcW w:w="1220" w:type="dxa"/>
            <w:vAlign w:val="bottom"/>
          </w:tcPr>
          <w:p>
            <w:pPr>
              <w:spacing w:after="0"/>
              <w:rPr>
                <w:sz w:val="17"/>
                <w:szCs w:val="17"/>
                <w:color w:val="auto"/>
              </w:rPr>
            </w:pPr>
          </w:p>
        </w:tc>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Page 30 of 31</w:t>
      </w:r>
    </w:p>
    <w:p>
      <w:pPr>
        <w:sectPr>
          <w:pgSz w:w="11900" w:h="16838" w:orient="portrait"/>
          <w:cols w:equalWidth="0" w:num="1">
            <w:col w:w="10219"/>
          </w:cols>
          <w:pgMar w:left="240" w:top="514"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MasTec, Inc.</w:t>
      </w:r>
    </w:p>
    <w:p>
      <w:pPr>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0"/>
          <w:szCs w:val="20"/>
          <w:color w:val="auto"/>
        </w:rPr>
      </w:pPr>
    </w:p>
    <w:p>
      <w:pPr>
        <w:spacing w:after="0" w:line="209"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Pursuant to the requirement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MasTec, Inc.</w:t>
      </w:r>
    </w:p>
    <w:p>
      <w:pPr>
        <w:ind w:left="12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17,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Carlos A. Valdes</w:t>
      </w:r>
    </w:p>
    <w:p>
      <w:pPr>
        <w:ind w:left="220"/>
        <w:spacing w:after="0" w:line="238" w:lineRule="auto"/>
        <w:rPr>
          <w:sz w:val="20"/>
          <w:szCs w:val="20"/>
          <w:color w:val="auto"/>
        </w:rPr>
      </w:pPr>
      <w:r>
        <w:rPr>
          <w:rFonts w:ascii="Courier New" w:cs="Courier New" w:eastAsia="Courier New" w:hAnsi="Courier New"/>
          <w:sz w:val="18"/>
          <w:szCs w:val="18"/>
          <w:color w:val="auto"/>
        </w:rPr>
        <w:t>________________________</w:t>
      </w:r>
    </w:p>
    <w:p>
      <w:pPr>
        <w:ind w:left="740"/>
        <w:spacing w:after="0"/>
        <w:rPr>
          <w:sz w:val="20"/>
          <w:szCs w:val="20"/>
          <w:color w:val="auto"/>
        </w:rPr>
      </w:pPr>
      <w:r>
        <w:rPr>
          <w:rFonts w:ascii="Courier New" w:cs="Courier New" w:eastAsia="Courier New" w:hAnsi="Courier New"/>
          <w:sz w:val="18"/>
          <w:szCs w:val="18"/>
          <w:color w:val="auto"/>
        </w:rPr>
        <w:t>Carlos A. Valdes</w:t>
      </w:r>
    </w:p>
    <w:p>
      <w:pPr>
        <w:spacing w:after="0" w:line="237" w:lineRule="auto"/>
        <w:rPr>
          <w:sz w:val="20"/>
          <w:szCs w:val="20"/>
          <w:color w:val="auto"/>
        </w:rPr>
      </w:pPr>
      <w:r>
        <w:rPr>
          <w:rFonts w:ascii="Courier New" w:cs="Courier New" w:eastAsia="Courier New" w:hAnsi="Courier New"/>
          <w:sz w:val="18"/>
          <w:szCs w:val="18"/>
          <w:color w:val="auto"/>
        </w:rPr>
        <w:t>Sr. Vice-President - Finance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Financial Officer)</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and</w:t>
      </w:r>
    </w:p>
    <w:p>
      <w:pPr>
        <w:ind w:left="220"/>
        <w:spacing w:after="0" w:line="238" w:lineRule="auto"/>
        <w:rPr>
          <w:sz w:val="20"/>
          <w:szCs w:val="20"/>
          <w:color w:val="auto"/>
        </w:rPr>
      </w:pPr>
      <w:r>
        <w:rPr>
          <w:rFonts w:ascii="Courier New" w:cs="Courier New" w:eastAsia="Courier New" w:hAnsi="Courier New"/>
          <w:sz w:val="18"/>
          <w:szCs w:val="18"/>
          <w:color w:val="auto"/>
        </w:rPr>
        <w:t>Authorized Officer of the</w:t>
      </w:r>
    </w:p>
    <w:p>
      <w:pPr>
        <w:ind w:left="960"/>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ectPr>
          <w:pgSz w:w="11900" w:h="16838" w:orient="portrait"/>
          <w:cols w:equalWidth="0" w:num="3">
            <w:col w:w="540" w:space="200"/>
            <w:col w:w="2860" w:space="720"/>
            <w:col w:w="5899"/>
          </w:cols>
          <w:pgMar w:left="240" w:top="5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Page 31 of 31</w:t>
      </w:r>
    </w:p>
    <w:sectPr>
      <w:pgSz w:w="11900" w:h="16838" w:orient="portrait"/>
      <w:cols w:equalWidth="0" w:num="1">
        <w:col w:w="1021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Letter"/>
      <w:start w:val="1"/>
    </w:lvl>
  </w:abstractNum>
  <w:abstractNum w:abstractNumId="1">
    <w:nsid w:val="216231B"/>
    <w:multiLevelType w:val="hybridMultilevel"/>
    <w:lvl w:ilvl="0">
      <w:lvlJc w:val="left"/>
      <w:lvlText w:val="(%1)"/>
      <w:numFmt w:val="lowerLetter"/>
      <w:start w:val="2"/>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1)"/>
      <w:numFmt w:val="lowerLetter"/>
      <w:start w:val="3"/>
    </w:lvl>
  </w:abstractNum>
  <w:abstractNum w:abstractNumId="5">
    <w:nsid w:val="140E0F76"/>
    <w:multiLevelType w:val="hybridMultilevel"/>
    <w:lvl w:ilvl="0">
      <w:lvlJc w:val="left"/>
      <w:lvlText w:val="(%1)"/>
      <w:numFmt w:val="lowerLetter"/>
      <w:start w:val="4"/>
    </w:lvl>
  </w:abstractNum>
  <w:abstractNum w:abstractNumId="6">
    <w:nsid w:val="3352255A"/>
    <w:multiLevelType w:val="hybridMultilevel"/>
    <w:lvl w:ilvl="0">
      <w:lvlJc w:val="left"/>
      <w:lvlText w:val="(%1)"/>
      <w:numFmt w:val="decimal"/>
      <w:start w:val="3"/>
    </w:lvl>
  </w:abstractNum>
  <w:abstractNum w:abstractNumId="7">
    <w:nsid w:val="109CF92E"/>
    <w:multiLevelType w:val="hybridMultilevel"/>
    <w:lvl w:ilvl="0">
      <w:lvlJc w:val="left"/>
      <w:lvlText w:val="(%1)"/>
      <w:numFmt w:val="lowerLetter"/>
      <w:start w:val="2"/>
    </w:lvl>
  </w:abstractNum>
  <w:abstractNum w:abstractNumId="8">
    <w:nsid w:val="DED7263"/>
    <w:multiLevelType w:val="hybridMultilevel"/>
    <w:lvl w:ilvl="0">
      <w:lvlJc w:val="left"/>
      <w:lvlText w:val="(%1)"/>
      <w:numFmt w:val="lowerLetter"/>
      <w:start w:val="3"/>
    </w:lvl>
  </w:abstractNum>
  <w:abstractNum w:abstractNumId="9">
    <w:nsid w:val="7FDCC233"/>
    <w:multiLevelType w:val="hybridMultilevel"/>
    <w:lvl w:ilvl="0">
      <w:lvlJc w:val="left"/>
      <w:lvlText w:val="(%1)"/>
      <w:numFmt w:val="decimal"/>
      <w:start w:val="4"/>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2"/>
    </w:lvl>
  </w:abstractNum>
  <w:abstractNum w:abstractNumId="13">
    <w:nsid w:val="4E6AFB66"/>
    <w:multiLevelType w:val="hybridMultilevel"/>
    <w:lvl w:ilvl="0">
      <w:lvlJc w:val="left"/>
      <w:lvlText w:val="(%1)"/>
      <w:numFmt w:val="lowerLetter"/>
      <w:start w:val="3"/>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decimal"/>
      <w:start w:val="2"/>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2"/>
    </w:lvl>
  </w:abstractNum>
  <w:abstractNum w:abstractNumId="18">
    <w:nsid w:val="7C83E45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2019-12-12T05:46:04Z</dcterms:created>
  <dcterms:modified xsi:type="dcterms:W3CDTF">2019-12-12T05:46:04Z</dcterms:modified>
</cp:coreProperties>
</file>