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MAS JOSE RAMON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S. DOUGLAS ROAD, 12TH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CORAL GABLES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MASTEC INC</w:t>
              </w:r>
            </w:hyperlink>
            <w:r>
              <w:rPr/>
              <w:t xml:space="preserve"> [ </w:t>
            </w:r>
            <w:r>
              <w:rPr>
                <w:rFonts w:ascii="Times;serif" w:hAnsi="Times;serif"/>
                <w:color w:val="0000FF"/>
                <w:sz w:val="24"/>
                <w:shd w:fill="FFFFFF" w:val="clear"/>
              </w:rPr>
              <w:t>MTZ</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989" w:type="dxa"/>
        <w:jc w:val="left"/>
        <w:tblInd w:w="-7" w:type="dxa"/>
        <w:tblLayout w:type="fixed"/>
        <w:tblCellMar>
          <w:top w:w="60" w:type="dxa"/>
          <w:left w:w="60" w:type="dxa"/>
          <w:bottom w:w="60" w:type="dxa"/>
          <w:right w:w="60" w:type="dxa"/>
        </w:tblCellMar>
      </w:tblPr>
      <w:tblGrid>
        <w:gridCol w:w="1010"/>
        <w:gridCol w:w="861"/>
        <w:gridCol w:w="891"/>
        <w:gridCol w:w="771"/>
        <w:gridCol w:w="660"/>
        <w:gridCol w:w="231"/>
        <w:gridCol w:w="816"/>
        <w:gridCol w:w="816"/>
        <w:gridCol w:w="906"/>
        <w:gridCol w:w="801"/>
        <w:gridCol w:w="891"/>
        <w:gridCol w:w="921"/>
        <w:gridCol w:w="801"/>
        <w:gridCol w:w="936"/>
        <w:gridCol w:w="831"/>
        <w:gridCol w:w="846"/>
      </w:tblGrid>
      <w:tr>
        <w:trPr>
          <w:tblHeader w:val="true"/>
        </w:trPr>
        <w:tc>
          <w:tcPr>
            <w:tcW w:w="129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Forward sale contract (potential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(1)(2)(3)(4)(5)</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340,794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340,794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Forward sale contract (potential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(1)(2)(3)(4)(5)</w:t>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340,794</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340,794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340,794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As previously reported, the reporting person is party to a prepaid variable forward sale contract (as amended to date, the "Forward Sale Contract") with an unaffiliated third party buyer. The reporting person pledged an aggregate of 340,794 shares (the "Pledged Shares") of MasTec, Inc. common stock to secure his obligations under the Forward Sale Contract, and retained ownership and voting rights in the Pledged Shares during the term of the pledge.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10, 2026, the reporting person and the buyer entered into a fourth amendment to the Forward Sale Contract (as so further amended, the "Amended Agreement") to amend the Floor Price (as defined below) and the Cap Price (as defined below) for each Tranche 1 Component (as defined below), which were determined based on the volume weighted average price (the "VWAP") of MasTec, Inc.'s common stock for a specified period ended on August 11, 2026. The Amended Agreement provides for the settlement of the transaction, at the reporting person's option, in cash or shares of MasTec,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from Footnote 2) The Pledged Shares are divided into two tranches (each, a "Tranche") of 15 components each ("Tranche 1 Components" or "Tranche 2 Components"). The number of shares of MasTec, Inc. common stock to be potentially delivered to the buyer on the valuation date of each Tranche 1 Component or Tranche 2 Component (or on which to base the amount of cash to be delivered to the buyer on such valuation date) is to be determined as follows: (a) if the VWAP of MasTec, Inc. common stock on the valuation date for the applicable Tranche 1 Component or Tranche 2 Component (each, a "Valuation Price") is less than or equal to $246.5096 (the "Tranche 1 Floor Price") or $157.3441 (the "Tranche 2 Floor Price," and each of the Tranche 1 Floor Price and Tranche 2 Floor Price, a "Floor Price"), respectively, then the reporting person will deliver to the buyer all of the Pledged Shares for the applicable Tranche 1 Component or Tranche 2 Component;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(Continued from Footnote 3) (b) if such Valuation Price for the Tranche 1 Component or Tranche 2 Component is greater than the Tranche 1 Floor Price or Tranche 2 Floor Price, respectively, but less than or equal to $350.5914 (the "Tranche 1 Cap Price") or $243.0093 (the "Tranche 2 Cap Price," and each of the Tranche 1 Cap Price and Tranche 2 Cap Price, a "Cap Price"), respectively, then the reporting person will deliver to the buyer the number of shares equal to 100% of the Pledged Shares for the applicable Tranche 1 Component or Tranche 2 Component multiplied by the quotient of the applicable Floor Price divided by such Valuation Price; and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(Continued from Footnote 4) (c) if such Valuation Price for the Tranche 1 Component or Tranche 2 Component exceeds the Tranche 1 Cap Price or Tranche 2 Cap Price, respectively, then the reporting person will deliver to the buyer the number of shares equal to 100% of the Pledged Shares for the applicable component multiplied by the quotient of (x) the applicable Floor Price plus such excess divided by (y) such Valuation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component is exercisable on the same date as it expires, which date for each component, is between August 16, 2027 and September 1,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currently retains ownership of all shares of MasTec common stock that are subject to the Amended Agreement and rights related thereto, including all voting rights.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Albert de Cardenas For: Jose Mas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79760" TargetMode="External"/><Relationship Id="rId5" Type="http://schemas.openxmlformats.org/officeDocument/2006/relationships/hyperlink" Target="http://www.sec.gov/cgi-bin/browse-edgar?action=getcompany&amp;CIK=00000156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1179</Words>
  <Characters>6156</Characters>
  <CharactersWithSpaces>7245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