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5512.xml.htm"/>
      <w:bookmarkStart w:id="1" w:name="kswkform4_17870855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Parker Ava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10589 VERSAILLES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WELLINGTON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MASTEC INC</w:t>
              </w:r>
            </w:hyperlink>
            <w:r>
              <w:rPr/>
              <w:t xml:space="preserve"> [ </w:t>
            </w:r>
            <w:r>
              <w:rPr>
                <w:rFonts w:ascii="Times;serif" w:hAnsi="Times;serif"/>
                <w:color w:val="0000FF"/>
                <w:sz w:val="24"/>
                <w:shd w:fill="FFFFFF" w:val="clear"/>
              </w:rPr>
              <w:t>MTZ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297.59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represent the portion of the reporting person's quarterly compensation that the reporting person was required to or elected to receive in the form of shares of Common Stock. The number of shares was calculated based on the closing price of a share of Common Stock on August 14, 2026. Pursuant to the Issuer's Deferred Fee Plan for Directors, the reporting person elected to defer the receipt of 88 of such shares to a future date in accordance with the terms of such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disposed of represent shares withheld by the Issuer to pay taxes due upon vesting of restricted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Alberto de Cardenas For: Ava L. Parker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6207" TargetMode="External"/><Relationship Id="rId5" Type="http://schemas.openxmlformats.org/officeDocument/2006/relationships/hyperlink" Target="http://www.sec.gov/cgi-bin/browse-edgar?action=getcompany&amp;CIK=0000015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3596</Characters>
  <CharactersWithSpaces>4200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