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99977d8k.htm"/>
      <w:bookmarkStart w:id="1" w:name="ksd29997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August 17,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MASTEC,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Florida</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001-08106</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65-0829355</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00" w:after="0"/>
        <w:jc w:val="center"/>
        <w:rPr>
          <w:rFonts w:ascii="Times New Roman" w:hAnsi="Times New Roman"/>
          <w:b/>
          <w:sz w:val="20"/>
        </w:rPr>
      </w:pPr>
      <w:r>
        <w:rPr>
          <w:rFonts w:ascii="Times New Roman" w:hAnsi="Times New Roman"/>
          <w:b/>
          <w:sz w:val="20"/>
        </w:rPr>
        <w:t>800 S. Douglas Road, 12th Floor</w:t>
      </w:r>
    </w:p>
    <w:p>
      <w:pPr>
        <w:pStyle w:val="TextBody"/>
        <w:bidi w:val="0"/>
        <w:spacing w:before="0" w:after="0"/>
        <w:jc w:val="center"/>
        <w:rPr>
          <w:rFonts w:ascii="Times New Roman" w:hAnsi="Times New Roman"/>
          <w:b/>
          <w:sz w:val="20"/>
        </w:rPr>
      </w:pPr>
      <w:r>
        <w:rPr>
          <w:rFonts w:ascii="Times New Roman" w:hAnsi="Times New Roman"/>
          <w:b/>
          <w:sz w:val="20"/>
        </w:rPr>
        <w:t>Coral Gables, Florida 33134</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w:t>
      </w:r>
    </w:p>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(305) 599-1800</w:t>
      </w:r>
    </w:p>
    <w:p>
      <w:pPr>
        <w:pStyle w:val="TextBody"/>
        <w:bidi w:val="0"/>
        <w:spacing w:before="20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i/>
          <w:sz w:val="20"/>
        </w:rPr>
        <w:t>see</w:t>
      </w:r>
      <w:r>
        <w:rPr>
          <w:rFonts w:ascii="Times New Roman" w:hAnsi="Times New Roman"/>
          <w:sz w:val="20"/>
        </w:rPr>
        <w:t xml:space="preserv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675" w:type="dxa"/>
        <w:jc w:val="left"/>
        <w:tblInd w:w="0" w:type="dxa"/>
        <w:tblLayout w:type="fixed"/>
        <w:tblCellMar>
          <w:top w:w="0" w:type="dxa"/>
          <w:left w:w="0" w:type="dxa"/>
          <w:bottom w:w="0" w:type="dxa"/>
          <w:right w:w="0" w:type="dxa"/>
        </w:tblCellMar>
      </w:tblPr>
      <w:tblGrid>
        <w:gridCol w:w="3185"/>
        <w:gridCol w:w="60"/>
        <w:gridCol w:w="710"/>
        <w:gridCol w:w="60"/>
        <w:gridCol w:w="2660"/>
      </w:tblGrid>
      <w:tr>
        <w:trPr/>
        <w:tc>
          <w:tcPr>
            <w:tcW w:w="3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1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185" w:type="dxa"/>
            <w:tcBorders/>
            <w:vAlign w:val="center"/>
          </w:tcPr>
          <w:p>
            <w:pPr>
              <w:pStyle w:val="TableContents"/>
              <w:bidi w:val="0"/>
              <w:spacing w:before="0" w:after="283"/>
              <w:jc w:val="center"/>
              <w:rPr/>
            </w:pPr>
            <w:r>
              <w:rPr/>
              <w:t>Common Stock, $0.10 Par Value</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MTZ</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17, 2026, MasTec, Inc., a Florida corporation (the “Company”), completed its previously announced public offering of $650.0 million aggregate principal amount of its 5.850% senior unsecured notes due 2036 (the “2036 Senior Notes”). The 2036 Senior Notes were issued on August 17, 2026, under an indenture dated as of June 5, 2009, by and among the Company, the Company’s subsidiaries party thereto, as guarantors, and U.S. Bank Trust Company, National Association, as trustee (the “Trustee”) (the “Base Indenture”), as supplemented by a twenty-second supplemental indenture, dated as of August 17, 2026, by and between the Company and the Trustee relating to the 2036 Senior Notes (the “Twenty-Second Supplemental Indenture” and, together with the Base Indenture, the “Indenture”).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the Indenture, the 2036 Senior Notes are senior unsecured obligations of the Company and rank equally with all of the Company’s other senior unsecured indebtedness. The 2036 Senior Notes are effectively subordinated to all secured indebtedness of the Company, to the extent of the value of the assets securing such indebtedness. The 2036 Senior Notes are not guaranteed by any of the Company’s subsidiaries and are therefore structurally subordinated to all of the obligations of the Company’s subsidiaries, including trade payables.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redeem the 2036 Senior Notes, in whole or in part, at any time at redemption prices specified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2036 Senior Notes bear interest at an annual rate of 5.850%. Interest on the 2036 Senior Notes is payable by the Company on March 30 and September 30 of each year, beginning on March 30, 2027. The 2036 Senior Notes will mature on September 30, 2036. The Indenture provides for customary events of default and remedies. </w:t>
      </w:r>
    </w:p>
    <w:p>
      <w:pPr>
        <w:pStyle w:val="TextBody"/>
        <w:bidi w:val="0"/>
        <w:spacing w:before="240" w:after="0"/>
        <w:jc w:val="left"/>
        <w:rPr>
          <w:rFonts w:ascii="Times New Roman" w:hAnsi="Times New Roman"/>
          <w:sz w:val="20"/>
        </w:rPr>
      </w:pPr>
      <w:r>
        <w:rPr>
          <w:rFonts w:ascii="Times New Roman" w:hAnsi="Times New Roman"/>
          <w:sz w:val="20"/>
        </w:rPr>
        <w:t xml:space="preserve">A copy of the Base Indenture is filed as Exhibit 4.1 to this Current Report on Form 8-K and is incorporated by reference herein. A copy of the Twenty-Second Supplemental Indenture is filed as Exhibit 4.2 to this Current Report on Form 8-K and is incorporated by reference herein. The form of 2036 Senior Notes is filed as Exhibit 4.3 to this Current Report on Form 8-K and is incorporated by reference herein. The descriptions of the material terms of the Base Indenture, the Twenty-Second Supplemental Indenture and the 2036 Senior Notes are qualified in their entirety by reference to such exhibits. In addition, the legal opinions of Fried, Frank, Harris, Shriver &amp; Jacobson LLP and Holland &amp; Knight LLP related to the 2036 Senior Notes are filed as Exhibits 5.1 and 5.2, respectively, to this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The Trustee has also been appointed registrar and paying agent with regard to the 2036 Senior Notes and serves the same roles with respect to certain other series of the Company’s outstanding senior notes.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33"/>
        <w:gridCol w:w="9272"/>
      </w:tblGrid>
      <w:tr>
        <w:trPr/>
        <w:tc>
          <w:tcPr>
            <w:tcW w:w="933" w:type="dxa"/>
            <w:tcBorders/>
            <w:vAlign w:val="center"/>
          </w:tcPr>
          <w:p>
            <w:pPr>
              <w:pStyle w:val="TableContents"/>
              <w:bidi w:val="0"/>
              <w:spacing w:before="0" w:after="283"/>
              <w:jc w:val="left"/>
              <w:rPr>
                <w:b/>
              </w:rPr>
            </w:pPr>
            <w:r>
              <w:rPr>
                <w:b/>
              </w:rPr>
              <w:t>Item 2.03</w:t>
            </w:r>
          </w:p>
        </w:tc>
        <w:tc>
          <w:tcPr>
            <w:tcW w:w="9272"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Creation of a Direct Financial Obligation or an Obligation Under an Off-Balance Sheet Arrangement of a Registrant.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required by Item 2.03 contained in Item 1.01 of this Current Report on Form 8-K is incorporated herein by reference. </w:t>
      </w:r>
      <w:r>
        <w:br w:type="page"/>
      </w:r>
    </w:p>
    <w:p>
      <w:pPr>
        <w:pStyle w:val="HorizontalLine"/>
        <w:bidi w:val="0"/>
        <w:jc w:val="left"/>
        <w:rPr/>
      </w:pPr>
      <w:r>
        <w:rPr/>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Exhibits</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0"/>
        <w:gridCol w:w="120"/>
        <w:gridCol w:w="952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2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No.</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center"/>
              <w:rPr>
                <w:b/>
              </w:rPr>
            </w:pPr>
            <w:r>
              <w:rPr>
                <w:b/>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4.1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r:id="rId2">
              <w:r>
                <w:rPr>
                  <w:rStyle w:val="InternetLink"/>
                </w:rPr>
                <w:t xml:space="preserve">Indenture, dated June 5, 2009, by and among MasTec, Inc., MasTec, Inc.’s subsidiaries party thereto, as guarantors, and U.S. Bank National Association, as trustee (incorporated herein by reference to our Current Report on Form 8-K filed with the SEC on June 5, 2009).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4.2</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299977dex42.htm">
              <w:r>
                <w:rPr>
                  <w:rStyle w:val="InternetLink"/>
                </w:rPr>
                <w:t xml:space="preserve">Twenty-Second Supplemental Indenture, dated as of August 17, 2026, between MasTec, Inc. and U.S. Bank Trust Company, National Association, as trustee.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4.3</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299977dex42.htm">
              <w:r>
                <w:rPr>
                  <w:rStyle w:val="InternetLink"/>
                </w:rPr>
                <w:t xml:space="preserve">Form of 5.850% Senior Notes due 2036 (included in Exhibit 4.2 hereto).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5.1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299977dex51.htm">
              <w:r>
                <w:rPr>
                  <w:rStyle w:val="InternetLink"/>
                </w:rPr>
                <w:t xml:space="preserve">Opinion of Fried, Frank, Harris, Shriver &amp; Jacobson LLP.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5.2</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299977dex52.htm">
              <w:r>
                <w:rPr>
                  <w:rStyle w:val="InternetLink"/>
                </w:rPr>
                <w:t xml:space="preserve">Opinion of Holland &amp; Knight LLP.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299977dex51.htm">
              <w:r>
                <w:rPr>
                  <w:rStyle w:val="InternetLink"/>
                </w:rPr>
                <w:t xml:space="preserve">Consent of Fried, Frank, Harris, Shriver &amp; Jacobson LLP (included in Exhibit 5.1 hereto).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23.2</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299977dex52.htm">
              <w:r>
                <w:rPr>
                  <w:rStyle w:val="InternetLink"/>
                </w:rPr>
                <w:t xml:space="preserve">Consent of Holland &amp; Knight LLP (included in Exhibit 5.2 hereto).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8528" w:type="dxa"/>
        <w:jc w:val="left"/>
        <w:tblInd w:w="0" w:type="dxa"/>
        <w:tblLayout w:type="fixed"/>
        <w:tblCellMar>
          <w:top w:w="0" w:type="dxa"/>
          <w:left w:w="0" w:type="dxa"/>
          <w:bottom w:w="0" w:type="dxa"/>
          <w:right w:w="0" w:type="dxa"/>
        </w:tblCellMar>
      </w:tblPr>
      <w:tblGrid>
        <w:gridCol w:w="2195"/>
        <w:gridCol w:w="60"/>
        <w:gridCol w:w="23"/>
        <w:gridCol w:w="60"/>
        <w:gridCol w:w="650"/>
        <w:gridCol w:w="60"/>
        <w:gridCol w:w="5480"/>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8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90" w:type="dxa"/>
            <w:gridSpan w:val="3"/>
            <w:tcBorders/>
            <w:vAlign w:val="center"/>
          </w:tcPr>
          <w:p>
            <w:pPr>
              <w:pStyle w:val="TableContents"/>
              <w:bidi w:val="0"/>
              <w:spacing w:before="0" w:after="283"/>
              <w:jc w:val="left"/>
              <w:rPr>
                <w:b/>
              </w:rPr>
            </w:pPr>
            <w:r>
              <w:rPr>
                <w:b/>
              </w:rPr>
              <w:t>MASTEC, INC.</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5540"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 August 17,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Alberto de Cardenas</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pPr>
            <w:r>
              <w:rPr/>
              <w:t>Alberto de Cardenas</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pPr>
            <w:r>
              <w:rPr/>
              <w:t>Executive Vice President, General Counsel and Secretary</w:t>
            </w:r>
          </w:p>
        </w:tc>
      </w:tr>
    </w:tbl>
    <w:p>
      <w:pPr>
        <w:pStyle w:val="TextBody"/>
        <w:bidi w:val="0"/>
        <w:spacing w:before="0" w:after="0"/>
        <w:jc w:val="right"/>
        <w:rPr>
          <w:rFonts w:ascii="Times New Roman" w:hAnsi="Times New Roman"/>
          <w:b/>
          <w:sz w:val="20"/>
        </w:rPr>
      </w:pPr>
      <w:bookmarkStart w:id="2" w:name="d299977dex42.htm"/>
      <w:bookmarkStart w:id="3" w:name="ksd299977dex42"/>
      <w:bookmarkEnd w:id="2"/>
      <w:bookmarkEnd w:id="3"/>
      <w:r>
        <w:rPr>
          <w:rFonts w:ascii="Times New Roman" w:hAnsi="Times New Roman"/>
          <w:b/>
          <w:sz w:val="20"/>
        </w:rPr>
        <w:t xml:space="preserve">Exhibit 4.2 </w:t>
      </w:r>
      <w:r>
        <w:br w:type="page"/>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240" w:after="0"/>
        <w:jc w:val="center"/>
        <w:rPr>
          <w:rFonts w:ascii="Times New Roman" w:hAnsi="Times New Roman"/>
          <w:sz w:val="20"/>
        </w:rPr>
      </w:pPr>
      <w:r>
        <w:rPr>
          <w:rFonts w:ascii="Times New Roman" w:hAnsi="Times New Roman"/>
          <w:sz w:val="20"/>
        </w:rPr>
        <w:t xml:space="preserve">MASTEC, INC. </w:t>
      </w:r>
    </w:p>
    <w:p>
      <w:pPr>
        <w:pStyle w:val="TextBody"/>
        <w:bidi w:val="0"/>
        <w:spacing w:before="240" w:after="0"/>
        <w:jc w:val="center"/>
        <w:rPr>
          <w:rFonts w:ascii="Times New Roman" w:hAnsi="Times New Roman"/>
          <w:sz w:val="20"/>
        </w:rPr>
      </w:pPr>
      <w:r>
        <w:rPr>
          <w:rFonts w:ascii="Times New Roman" w:hAnsi="Times New Roman"/>
          <w:sz w:val="20"/>
        </w:rPr>
        <w:t xml:space="preserve">TO </w:t>
      </w:r>
    </w:p>
    <w:p>
      <w:pPr>
        <w:pStyle w:val="TextBody"/>
        <w:bidi w:val="0"/>
        <w:spacing w:before="240" w:after="0"/>
        <w:jc w:val="center"/>
        <w:rPr>
          <w:rFonts w:ascii="Times New Roman" w:hAnsi="Times New Roman"/>
          <w:sz w:val="20"/>
        </w:rPr>
      </w:pPr>
      <w:r>
        <w:rPr>
          <w:rFonts w:ascii="Times New Roman" w:hAnsi="Times New Roman"/>
          <w:sz w:val="20"/>
        </w:rPr>
        <w:t xml:space="preserve">U.S. BANK TRUST COMPANY, NATIONAL ASSOCIATION, </w:t>
      </w:r>
    </w:p>
    <w:p>
      <w:pPr>
        <w:pStyle w:val="TextBody"/>
        <w:bidi w:val="0"/>
        <w:spacing w:before="240" w:after="0"/>
        <w:jc w:val="center"/>
        <w:rPr>
          <w:rFonts w:ascii="Times New Roman" w:hAnsi="Times New Roman"/>
          <w:sz w:val="20"/>
        </w:rPr>
      </w:pPr>
      <w:r>
        <w:rPr>
          <w:rFonts w:ascii="Times New Roman" w:hAnsi="Times New Roman"/>
          <w:sz w:val="20"/>
        </w:rPr>
        <w:t xml:space="preserve">As Trustee </w:t>
      </w:r>
    </w:p>
    <w:p>
      <w:pPr>
        <w:pStyle w:val="TextBody"/>
        <w:bidi w:val="0"/>
        <w:spacing w:before="240" w:after="0"/>
        <w:jc w:val="center"/>
        <w:rPr>
          <w:rFonts w:ascii="Times New Roman" w:hAnsi="Times New Roman"/>
          <w:sz w:val="20"/>
        </w:rPr>
      </w:pPr>
      <w:r>
        <w:rPr>
          <w:rFonts w:ascii="Times New Roman" w:hAnsi="Times New Roman"/>
          <w:sz w:val="20"/>
        </w:rPr>
        <w:t xml:space="preserve">TWENTY-SECOND SUPPLEMENTAL INDENTURE </w:t>
      </w:r>
    </w:p>
    <w:p>
      <w:pPr>
        <w:pStyle w:val="TextBody"/>
        <w:bidi w:val="0"/>
        <w:spacing w:before="240" w:after="0"/>
        <w:jc w:val="center"/>
        <w:rPr>
          <w:rFonts w:ascii="Times New Roman" w:hAnsi="Times New Roman"/>
          <w:sz w:val="20"/>
        </w:rPr>
      </w:pPr>
      <w:r>
        <w:rPr>
          <w:rFonts w:ascii="Times New Roman" w:hAnsi="Times New Roman"/>
          <w:sz w:val="20"/>
        </w:rPr>
        <w:t xml:space="preserve">Dated as of August 17, 2026 to the </w:t>
      </w:r>
    </w:p>
    <w:p>
      <w:pPr>
        <w:pStyle w:val="TextBody"/>
        <w:bidi w:val="0"/>
        <w:spacing w:before="240" w:after="0"/>
        <w:jc w:val="center"/>
        <w:rPr>
          <w:rFonts w:ascii="Times New Roman" w:hAnsi="Times New Roman"/>
          <w:sz w:val="20"/>
        </w:rPr>
      </w:pPr>
      <w:r>
        <w:rPr>
          <w:rFonts w:ascii="Times New Roman" w:hAnsi="Times New Roman"/>
          <w:sz w:val="20"/>
        </w:rPr>
        <w:t xml:space="preserve">INDENTURE </w:t>
      </w:r>
    </w:p>
    <w:p>
      <w:pPr>
        <w:pStyle w:val="TextBody"/>
        <w:bidi w:val="0"/>
        <w:spacing w:before="240" w:after="0"/>
        <w:jc w:val="center"/>
        <w:rPr>
          <w:rFonts w:ascii="Times New Roman" w:hAnsi="Times New Roman"/>
          <w:sz w:val="20"/>
        </w:rPr>
      </w:pPr>
      <w:r>
        <w:rPr>
          <w:rFonts w:ascii="Times New Roman" w:hAnsi="Times New Roman"/>
          <w:sz w:val="20"/>
        </w:rPr>
        <w:t xml:space="preserve">Dated as of June 5, 2009 </w:t>
      </w:r>
    </w:p>
    <w:p>
      <w:pPr>
        <w:pStyle w:val="TextBody"/>
        <w:bidi w:val="0"/>
        <w:spacing w:before="240" w:after="0"/>
        <w:jc w:val="center"/>
        <w:rPr>
          <w:rFonts w:ascii="Times New Roman" w:hAnsi="Times New Roman"/>
          <w:sz w:val="20"/>
        </w:rPr>
      </w:pPr>
      <w:r>
        <w:rPr>
          <w:rFonts w:ascii="Times New Roman" w:hAnsi="Times New Roman"/>
          <w:sz w:val="20"/>
        </w:rPr>
        <w:t xml:space="preserve">5.850% SENIOR NOTES DUE 2036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54"/>
        <w:gridCol w:w="139"/>
        <w:gridCol w:w="8229"/>
        <w:gridCol w:w="139"/>
        <w:gridCol w:w="71"/>
        <w:gridCol w:w="309"/>
        <w:gridCol w:w="64"/>
      </w:tblGrid>
      <w:tr>
        <w:trPr/>
        <w:tc>
          <w:tcPr>
            <w:tcW w:w="1254"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8229"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25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380"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1254" w:type="dxa"/>
            <w:tcBorders/>
            <w:vAlign w:val="center"/>
          </w:tcPr>
          <w:p>
            <w:pPr>
              <w:pStyle w:val="TableContents"/>
              <w:bidi w:val="0"/>
              <w:spacing w:before="0" w:after="283"/>
              <w:jc w:val="left"/>
              <w:rPr>
                <w:sz w:val="4"/>
                <w:szCs w:val="4"/>
              </w:rPr>
            </w:pPr>
            <w:r>
              <w:rPr>
                <w:sz w:val="4"/>
                <w:szCs w:val="4"/>
              </w:rPr>
            </w:r>
          </w:p>
        </w:tc>
        <w:tc>
          <w:tcPr>
            <w:tcW w:w="8368" w:type="dxa"/>
            <w:gridSpan w:val="2"/>
            <w:tcBorders/>
            <w:vAlign w:val="center"/>
          </w:tcPr>
          <w:p>
            <w:pPr>
              <w:pStyle w:val="TableContents"/>
              <w:bidi w:val="0"/>
              <w:spacing w:before="0" w:after="283"/>
              <w:jc w:val="left"/>
              <w:rPr>
                <w:sz w:val="4"/>
                <w:szCs w:val="4"/>
              </w:rPr>
            </w:pPr>
            <w:r>
              <w:rPr>
                <w:sz w:val="4"/>
                <w:szCs w:val="4"/>
              </w:rPr>
            </w:r>
          </w:p>
        </w:tc>
        <w:tc>
          <w:tcPr>
            <w:tcW w:w="583" w:type="dxa"/>
            <w:gridSpan w:val="4"/>
            <w:tcBorders/>
            <w:vAlign w:val="center"/>
          </w:tcPr>
          <w:p>
            <w:pPr>
              <w:pStyle w:val="TableContents"/>
              <w:bidi w:val="0"/>
              <w:spacing w:before="0" w:after="283"/>
              <w:jc w:val="left"/>
              <w:rPr>
                <w:sz w:val="4"/>
                <w:szCs w:val="4"/>
              </w:rPr>
            </w:pPr>
            <w:r>
              <w:rPr>
                <w:sz w:val="4"/>
                <w:szCs w:val="4"/>
              </w:rPr>
            </w:r>
          </w:p>
        </w:tc>
      </w:tr>
      <w:tr>
        <w:trPr/>
        <w:tc>
          <w:tcPr>
            <w:tcW w:w="1254"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center"/>
              <w:rPr/>
            </w:pPr>
            <w:r>
              <w:rPr/>
              <w:t>ARTICLE 1</w:t>
            </w:r>
          </w:p>
        </w:tc>
        <w:tc>
          <w:tcPr>
            <w:tcW w:w="13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254" w:type="dxa"/>
            <w:tcBorders/>
            <w:vAlign w:val="center"/>
          </w:tcPr>
          <w:p>
            <w:pPr>
              <w:pStyle w:val="TableContents"/>
              <w:bidi w:val="0"/>
              <w:spacing w:before="0" w:after="283"/>
              <w:jc w:val="left"/>
              <w:rPr>
                <w:sz w:val="4"/>
                <w:szCs w:val="4"/>
              </w:rPr>
            </w:pPr>
            <w:r>
              <w:rPr>
                <w:sz w:val="4"/>
                <w:szCs w:val="4"/>
              </w:rPr>
            </w:r>
          </w:p>
        </w:tc>
        <w:tc>
          <w:tcPr>
            <w:tcW w:w="8368" w:type="dxa"/>
            <w:gridSpan w:val="2"/>
            <w:tcBorders/>
            <w:vAlign w:val="center"/>
          </w:tcPr>
          <w:p>
            <w:pPr>
              <w:pStyle w:val="TableContents"/>
              <w:bidi w:val="0"/>
              <w:spacing w:before="0" w:after="283"/>
              <w:jc w:val="left"/>
              <w:rPr>
                <w:sz w:val="4"/>
                <w:szCs w:val="4"/>
              </w:rPr>
            </w:pPr>
            <w:r>
              <w:rPr>
                <w:sz w:val="4"/>
                <w:szCs w:val="4"/>
              </w:rPr>
            </w:r>
          </w:p>
        </w:tc>
        <w:tc>
          <w:tcPr>
            <w:tcW w:w="583" w:type="dxa"/>
            <w:gridSpan w:val="4"/>
            <w:tcBorders/>
            <w:vAlign w:val="center"/>
          </w:tcPr>
          <w:p>
            <w:pPr>
              <w:pStyle w:val="TableContents"/>
              <w:bidi w:val="0"/>
              <w:spacing w:before="0" w:after="283"/>
              <w:jc w:val="left"/>
              <w:rPr>
                <w:sz w:val="4"/>
                <w:szCs w:val="4"/>
              </w:rPr>
            </w:pPr>
            <w:r>
              <w:rPr>
                <w:sz w:val="4"/>
                <w:szCs w:val="4"/>
              </w:rPr>
            </w:r>
          </w:p>
        </w:tc>
      </w:tr>
      <w:tr>
        <w:trPr/>
        <w:tc>
          <w:tcPr>
            <w:tcW w:w="1254"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center"/>
              <w:rPr/>
            </w:pPr>
            <w:r>
              <w:rPr/>
              <w:t>DEFINITIONS AND INCORPORATION BY REFERENCE</w:t>
            </w:r>
          </w:p>
        </w:tc>
        <w:tc>
          <w:tcPr>
            <w:tcW w:w="13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254" w:type="dxa"/>
            <w:tcBorders/>
            <w:vAlign w:val="center"/>
          </w:tcPr>
          <w:p>
            <w:pPr>
              <w:pStyle w:val="TableContents"/>
              <w:bidi w:val="0"/>
              <w:spacing w:before="0" w:after="283"/>
              <w:jc w:val="left"/>
              <w:rPr>
                <w:sz w:val="4"/>
                <w:szCs w:val="4"/>
              </w:rPr>
            </w:pPr>
            <w:r>
              <w:rPr>
                <w:sz w:val="4"/>
                <w:szCs w:val="4"/>
              </w:rPr>
            </w:r>
          </w:p>
        </w:tc>
        <w:tc>
          <w:tcPr>
            <w:tcW w:w="8368" w:type="dxa"/>
            <w:gridSpan w:val="2"/>
            <w:tcBorders/>
            <w:vAlign w:val="center"/>
          </w:tcPr>
          <w:p>
            <w:pPr>
              <w:pStyle w:val="TableContents"/>
              <w:bidi w:val="0"/>
              <w:spacing w:before="0" w:after="283"/>
              <w:jc w:val="left"/>
              <w:rPr>
                <w:sz w:val="4"/>
                <w:szCs w:val="4"/>
              </w:rPr>
            </w:pPr>
            <w:r>
              <w:rPr>
                <w:sz w:val="4"/>
                <w:szCs w:val="4"/>
              </w:rPr>
            </w:r>
          </w:p>
        </w:tc>
        <w:tc>
          <w:tcPr>
            <w:tcW w:w="583" w:type="dxa"/>
            <w:gridSpan w:val="4"/>
            <w:tcBorders/>
            <w:vAlign w:val="center"/>
          </w:tcPr>
          <w:p>
            <w:pPr>
              <w:pStyle w:val="TableContents"/>
              <w:bidi w:val="0"/>
              <w:spacing w:before="0" w:after="283"/>
              <w:jc w:val="left"/>
              <w:rPr>
                <w:sz w:val="4"/>
                <w:szCs w:val="4"/>
              </w:rPr>
            </w:pPr>
            <w:r>
              <w:rPr>
                <w:sz w:val="4"/>
                <w:szCs w:val="4"/>
              </w:rPr>
            </w:r>
          </w:p>
        </w:tc>
      </w:tr>
      <w:tr>
        <w:trPr/>
        <w:tc>
          <w:tcPr>
            <w:tcW w:w="12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13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Relationship to Base Indenture</w:t>
            </w:r>
          </w:p>
        </w:tc>
        <w:tc>
          <w:tcPr>
            <w:tcW w:w="13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c>
          <w:tcPr>
            <w:tcW w:w="12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13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Additional Definitions</w:t>
            </w:r>
          </w:p>
        </w:tc>
        <w:tc>
          <w:tcPr>
            <w:tcW w:w="13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c>
          <w:tcPr>
            <w:tcW w:w="12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13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Other Definitions</w:t>
            </w:r>
          </w:p>
        </w:tc>
        <w:tc>
          <w:tcPr>
            <w:tcW w:w="13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c>
          <w:tcPr>
            <w:tcW w:w="12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13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Incorporation by Reference of Trust Indenture Act</w:t>
            </w:r>
          </w:p>
        </w:tc>
        <w:tc>
          <w:tcPr>
            <w:tcW w:w="13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c>
          <w:tcPr>
            <w:tcW w:w="12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1.05</w:t>
            </w:r>
          </w:p>
        </w:tc>
        <w:tc>
          <w:tcPr>
            <w:tcW w:w="13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Rules of Construction</w:t>
            </w:r>
          </w:p>
        </w:tc>
        <w:tc>
          <w:tcPr>
            <w:tcW w:w="13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rHeight w:val="120" w:hRule="atLeast"/>
        </w:trPr>
        <w:tc>
          <w:tcPr>
            <w:tcW w:w="1254" w:type="dxa"/>
            <w:tcBorders/>
            <w:vAlign w:val="center"/>
          </w:tcPr>
          <w:p>
            <w:pPr>
              <w:pStyle w:val="TableContents"/>
              <w:bidi w:val="0"/>
              <w:spacing w:before="0" w:after="283"/>
              <w:jc w:val="left"/>
              <w:rPr>
                <w:sz w:val="4"/>
                <w:szCs w:val="4"/>
              </w:rPr>
            </w:pPr>
            <w:r>
              <w:rPr>
                <w:sz w:val="4"/>
                <w:szCs w:val="4"/>
              </w:rPr>
            </w:r>
          </w:p>
        </w:tc>
        <w:tc>
          <w:tcPr>
            <w:tcW w:w="8368" w:type="dxa"/>
            <w:gridSpan w:val="2"/>
            <w:tcBorders/>
            <w:vAlign w:val="center"/>
          </w:tcPr>
          <w:p>
            <w:pPr>
              <w:pStyle w:val="TableContents"/>
              <w:bidi w:val="0"/>
              <w:spacing w:before="0" w:after="283"/>
              <w:jc w:val="left"/>
              <w:rPr>
                <w:sz w:val="4"/>
                <w:szCs w:val="4"/>
              </w:rPr>
            </w:pPr>
            <w:r>
              <w:rPr>
                <w:sz w:val="4"/>
                <w:szCs w:val="4"/>
              </w:rPr>
            </w:r>
          </w:p>
        </w:tc>
        <w:tc>
          <w:tcPr>
            <w:tcW w:w="583" w:type="dxa"/>
            <w:gridSpan w:val="4"/>
            <w:tcBorders/>
            <w:vAlign w:val="center"/>
          </w:tcPr>
          <w:p>
            <w:pPr>
              <w:pStyle w:val="TableContents"/>
              <w:bidi w:val="0"/>
              <w:spacing w:before="0" w:after="283"/>
              <w:jc w:val="left"/>
              <w:rPr>
                <w:sz w:val="4"/>
                <w:szCs w:val="4"/>
              </w:rPr>
            </w:pPr>
            <w:r>
              <w:rPr>
                <w:sz w:val="4"/>
                <w:szCs w:val="4"/>
              </w:rPr>
            </w:r>
          </w:p>
        </w:tc>
      </w:tr>
      <w:tr>
        <w:trPr/>
        <w:tc>
          <w:tcPr>
            <w:tcW w:w="1254"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center"/>
              <w:rPr/>
            </w:pPr>
            <w:r>
              <w:rPr/>
              <w:t>ARTICLE 2</w:t>
            </w:r>
          </w:p>
        </w:tc>
        <w:tc>
          <w:tcPr>
            <w:tcW w:w="13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254" w:type="dxa"/>
            <w:tcBorders/>
            <w:vAlign w:val="center"/>
          </w:tcPr>
          <w:p>
            <w:pPr>
              <w:pStyle w:val="TableContents"/>
              <w:bidi w:val="0"/>
              <w:spacing w:before="0" w:after="283"/>
              <w:jc w:val="left"/>
              <w:rPr>
                <w:sz w:val="4"/>
                <w:szCs w:val="4"/>
              </w:rPr>
            </w:pPr>
            <w:r>
              <w:rPr>
                <w:sz w:val="4"/>
                <w:szCs w:val="4"/>
              </w:rPr>
            </w:r>
          </w:p>
        </w:tc>
        <w:tc>
          <w:tcPr>
            <w:tcW w:w="8368" w:type="dxa"/>
            <w:gridSpan w:val="2"/>
            <w:tcBorders/>
            <w:vAlign w:val="center"/>
          </w:tcPr>
          <w:p>
            <w:pPr>
              <w:pStyle w:val="TableContents"/>
              <w:bidi w:val="0"/>
              <w:spacing w:before="0" w:after="283"/>
              <w:jc w:val="left"/>
              <w:rPr>
                <w:sz w:val="4"/>
                <w:szCs w:val="4"/>
              </w:rPr>
            </w:pPr>
            <w:r>
              <w:rPr>
                <w:sz w:val="4"/>
                <w:szCs w:val="4"/>
              </w:rPr>
            </w:r>
          </w:p>
        </w:tc>
        <w:tc>
          <w:tcPr>
            <w:tcW w:w="583" w:type="dxa"/>
            <w:gridSpan w:val="4"/>
            <w:tcBorders/>
            <w:vAlign w:val="center"/>
          </w:tcPr>
          <w:p>
            <w:pPr>
              <w:pStyle w:val="TableContents"/>
              <w:bidi w:val="0"/>
              <w:spacing w:before="0" w:after="283"/>
              <w:jc w:val="left"/>
              <w:rPr>
                <w:sz w:val="4"/>
                <w:szCs w:val="4"/>
              </w:rPr>
            </w:pPr>
            <w:r>
              <w:rPr>
                <w:sz w:val="4"/>
                <w:szCs w:val="4"/>
              </w:rPr>
            </w:r>
          </w:p>
        </w:tc>
      </w:tr>
      <w:tr>
        <w:trPr/>
        <w:tc>
          <w:tcPr>
            <w:tcW w:w="1254"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center"/>
              <w:rPr/>
            </w:pPr>
            <w:r>
              <w:rPr/>
              <w:t>THE NOTES</w:t>
            </w:r>
          </w:p>
        </w:tc>
        <w:tc>
          <w:tcPr>
            <w:tcW w:w="13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254" w:type="dxa"/>
            <w:tcBorders/>
            <w:vAlign w:val="center"/>
          </w:tcPr>
          <w:p>
            <w:pPr>
              <w:pStyle w:val="TableContents"/>
              <w:bidi w:val="0"/>
              <w:spacing w:before="0" w:after="283"/>
              <w:jc w:val="left"/>
              <w:rPr>
                <w:sz w:val="4"/>
                <w:szCs w:val="4"/>
              </w:rPr>
            </w:pPr>
            <w:r>
              <w:rPr>
                <w:sz w:val="4"/>
                <w:szCs w:val="4"/>
              </w:rPr>
            </w:r>
          </w:p>
        </w:tc>
        <w:tc>
          <w:tcPr>
            <w:tcW w:w="8368" w:type="dxa"/>
            <w:gridSpan w:val="2"/>
            <w:tcBorders/>
            <w:vAlign w:val="center"/>
          </w:tcPr>
          <w:p>
            <w:pPr>
              <w:pStyle w:val="TableContents"/>
              <w:bidi w:val="0"/>
              <w:spacing w:before="0" w:after="283"/>
              <w:jc w:val="left"/>
              <w:rPr>
                <w:sz w:val="4"/>
                <w:szCs w:val="4"/>
              </w:rPr>
            </w:pPr>
            <w:r>
              <w:rPr>
                <w:sz w:val="4"/>
                <w:szCs w:val="4"/>
              </w:rPr>
            </w:r>
          </w:p>
        </w:tc>
        <w:tc>
          <w:tcPr>
            <w:tcW w:w="583" w:type="dxa"/>
            <w:gridSpan w:val="4"/>
            <w:tcBorders/>
            <w:vAlign w:val="center"/>
          </w:tcPr>
          <w:p>
            <w:pPr>
              <w:pStyle w:val="TableContents"/>
              <w:bidi w:val="0"/>
              <w:spacing w:before="0" w:after="283"/>
              <w:jc w:val="left"/>
              <w:rPr>
                <w:sz w:val="4"/>
                <w:szCs w:val="4"/>
              </w:rPr>
            </w:pPr>
            <w:r>
              <w:rPr>
                <w:sz w:val="4"/>
                <w:szCs w:val="4"/>
              </w:rPr>
            </w:r>
          </w:p>
        </w:tc>
      </w:tr>
      <w:tr>
        <w:trPr/>
        <w:tc>
          <w:tcPr>
            <w:tcW w:w="12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13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Form and Dating</w:t>
            </w:r>
          </w:p>
        </w:tc>
        <w:tc>
          <w:tcPr>
            <w:tcW w:w="13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c>
          <w:tcPr>
            <w:tcW w:w="12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13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Execution and Authentication</w:t>
            </w:r>
          </w:p>
        </w:tc>
        <w:tc>
          <w:tcPr>
            <w:tcW w:w="13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c>
          <w:tcPr>
            <w:tcW w:w="12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13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Registrar and Paying Agent</w:t>
            </w:r>
          </w:p>
        </w:tc>
        <w:tc>
          <w:tcPr>
            <w:tcW w:w="13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c>
          <w:tcPr>
            <w:tcW w:w="12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13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[Reserved]</w:t>
            </w:r>
          </w:p>
        </w:tc>
        <w:tc>
          <w:tcPr>
            <w:tcW w:w="13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c>
          <w:tcPr>
            <w:tcW w:w="12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13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Holder Lists</w:t>
            </w:r>
          </w:p>
        </w:tc>
        <w:tc>
          <w:tcPr>
            <w:tcW w:w="13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c>
          <w:tcPr>
            <w:tcW w:w="12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13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Transfer and Exchange</w:t>
            </w:r>
          </w:p>
        </w:tc>
        <w:tc>
          <w:tcPr>
            <w:tcW w:w="13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c>
          <w:tcPr>
            <w:tcW w:w="12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13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Outstanding Notes</w:t>
            </w:r>
          </w:p>
        </w:tc>
        <w:tc>
          <w:tcPr>
            <w:tcW w:w="13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c>
          <w:tcPr>
            <w:tcW w:w="12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2.08</w:t>
            </w:r>
          </w:p>
        </w:tc>
        <w:tc>
          <w:tcPr>
            <w:tcW w:w="13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Treasury Notes</w:t>
            </w:r>
          </w:p>
        </w:tc>
        <w:tc>
          <w:tcPr>
            <w:tcW w:w="13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c>
          <w:tcPr>
            <w:tcW w:w="12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2.09</w:t>
            </w:r>
          </w:p>
        </w:tc>
        <w:tc>
          <w:tcPr>
            <w:tcW w:w="13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Issuance of Additional Notes</w:t>
            </w:r>
          </w:p>
        </w:tc>
        <w:tc>
          <w:tcPr>
            <w:tcW w:w="13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rHeight w:val="120" w:hRule="atLeast"/>
        </w:trPr>
        <w:tc>
          <w:tcPr>
            <w:tcW w:w="1254" w:type="dxa"/>
            <w:tcBorders/>
            <w:vAlign w:val="center"/>
          </w:tcPr>
          <w:p>
            <w:pPr>
              <w:pStyle w:val="TableContents"/>
              <w:bidi w:val="0"/>
              <w:spacing w:before="0" w:after="283"/>
              <w:jc w:val="left"/>
              <w:rPr>
                <w:sz w:val="4"/>
                <w:szCs w:val="4"/>
              </w:rPr>
            </w:pPr>
            <w:r>
              <w:rPr>
                <w:sz w:val="4"/>
                <w:szCs w:val="4"/>
              </w:rPr>
            </w:r>
          </w:p>
        </w:tc>
        <w:tc>
          <w:tcPr>
            <w:tcW w:w="8368" w:type="dxa"/>
            <w:gridSpan w:val="2"/>
            <w:tcBorders/>
            <w:vAlign w:val="center"/>
          </w:tcPr>
          <w:p>
            <w:pPr>
              <w:pStyle w:val="TableContents"/>
              <w:bidi w:val="0"/>
              <w:spacing w:before="0" w:after="283"/>
              <w:jc w:val="left"/>
              <w:rPr>
                <w:sz w:val="4"/>
                <w:szCs w:val="4"/>
              </w:rPr>
            </w:pPr>
            <w:r>
              <w:rPr>
                <w:sz w:val="4"/>
                <w:szCs w:val="4"/>
              </w:rPr>
            </w:r>
          </w:p>
        </w:tc>
        <w:tc>
          <w:tcPr>
            <w:tcW w:w="583" w:type="dxa"/>
            <w:gridSpan w:val="4"/>
            <w:tcBorders/>
            <w:vAlign w:val="center"/>
          </w:tcPr>
          <w:p>
            <w:pPr>
              <w:pStyle w:val="TableContents"/>
              <w:bidi w:val="0"/>
              <w:spacing w:before="0" w:after="283"/>
              <w:jc w:val="left"/>
              <w:rPr>
                <w:sz w:val="4"/>
                <w:szCs w:val="4"/>
              </w:rPr>
            </w:pPr>
            <w:r>
              <w:rPr>
                <w:sz w:val="4"/>
                <w:szCs w:val="4"/>
              </w:rPr>
            </w:r>
          </w:p>
        </w:tc>
      </w:tr>
      <w:tr>
        <w:trPr/>
        <w:tc>
          <w:tcPr>
            <w:tcW w:w="1254"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center"/>
              <w:rPr/>
            </w:pPr>
            <w:r>
              <w:rPr/>
              <w:t>ARTICLE 3</w:t>
            </w:r>
          </w:p>
        </w:tc>
        <w:tc>
          <w:tcPr>
            <w:tcW w:w="13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254" w:type="dxa"/>
            <w:tcBorders/>
            <w:vAlign w:val="center"/>
          </w:tcPr>
          <w:p>
            <w:pPr>
              <w:pStyle w:val="TableContents"/>
              <w:bidi w:val="0"/>
              <w:spacing w:before="0" w:after="283"/>
              <w:jc w:val="left"/>
              <w:rPr>
                <w:sz w:val="4"/>
                <w:szCs w:val="4"/>
              </w:rPr>
            </w:pPr>
            <w:r>
              <w:rPr>
                <w:sz w:val="4"/>
                <w:szCs w:val="4"/>
              </w:rPr>
            </w:r>
          </w:p>
        </w:tc>
        <w:tc>
          <w:tcPr>
            <w:tcW w:w="8368" w:type="dxa"/>
            <w:gridSpan w:val="2"/>
            <w:tcBorders/>
            <w:vAlign w:val="center"/>
          </w:tcPr>
          <w:p>
            <w:pPr>
              <w:pStyle w:val="TableContents"/>
              <w:bidi w:val="0"/>
              <w:spacing w:before="0" w:after="283"/>
              <w:jc w:val="left"/>
              <w:rPr>
                <w:sz w:val="4"/>
                <w:szCs w:val="4"/>
              </w:rPr>
            </w:pPr>
            <w:r>
              <w:rPr>
                <w:sz w:val="4"/>
                <w:szCs w:val="4"/>
              </w:rPr>
            </w:r>
          </w:p>
        </w:tc>
        <w:tc>
          <w:tcPr>
            <w:tcW w:w="583" w:type="dxa"/>
            <w:gridSpan w:val="4"/>
            <w:tcBorders/>
            <w:vAlign w:val="center"/>
          </w:tcPr>
          <w:p>
            <w:pPr>
              <w:pStyle w:val="TableContents"/>
              <w:bidi w:val="0"/>
              <w:spacing w:before="0" w:after="283"/>
              <w:jc w:val="left"/>
              <w:rPr>
                <w:sz w:val="4"/>
                <w:szCs w:val="4"/>
              </w:rPr>
            </w:pPr>
            <w:r>
              <w:rPr>
                <w:sz w:val="4"/>
                <w:szCs w:val="4"/>
              </w:rPr>
            </w:r>
          </w:p>
        </w:tc>
      </w:tr>
      <w:tr>
        <w:trPr/>
        <w:tc>
          <w:tcPr>
            <w:tcW w:w="1254"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center"/>
              <w:rPr/>
            </w:pPr>
            <w:r>
              <w:rPr/>
              <w:t>REDEMPTION AND PREPAYMENT</w:t>
            </w:r>
          </w:p>
        </w:tc>
        <w:tc>
          <w:tcPr>
            <w:tcW w:w="13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254" w:type="dxa"/>
            <w:tcBorders/>
            <w:vAlign w:val="center"/>
          </w:tcPr>
          <w:p>
            <w:pPr>
              <w:pStyle w:val="TableContents"/>
              <w:bidi w:val="0"/>
              <w:spacing w:before="0" w:after="283"/>
              <w:jc w:val="left"/>
              <w:rPr>
                <w:sz w:val="4"/>
                <w:szCs w:val="4"/>
              </w:rPr>
            </w:pPr>
            <w:r>
              <w:rPr>
                <w:sz w:val="4"/>
                <w:szCs w:val="4"/>
              </w:rPr>
            </w:r>
          </w:p>
        </w:tc>
        <w:tc>
          <w:tcPr>
            <w:tcW w:w="8368" w:type="dxa"/>
            <w:gridSpan w:val="2"/>
            <w:tcBorders/>
            <w:vAlign w:val="center"/>
          </w:tcPr>
          <w:p>
            <w:pPr>
              <w:pStyle w:val="TableContents"/>
              <w:bidi w:val="0"/>
              <w:spacing w:before="0" w:after="283"/>
              <w:jc w:val="left"/>
              <w:rPr>
                <w:sz w:val="4"/>
                <w:szCs w:val="4"/>
              </w:rPr>
            </w:pPr>
            <w:r>
              <w:rPr>
                <w:sz w:val="4"/>
                <w:szCs w:val="4"/>
              </w:rPr>
            </w:r>
          </w:p>
        </w:tc>
        <w:tc>
          <w:tcPr>
            <w:tcW w:w="583" w:type="dxa"/>
            <w:gridSpan w:val="4"/>
            <w:tcBorders/>
            <w:vAlign w:val="center"/>
          </w:tcPr>
          <w:p>
            <w:pPr>
              <w:pStyle w:val="TableContents"/>
              <w:bidi w:val="0"/>
              <w:spacing w:before="0" w:after="283"/>
              <w:jc w:val="left"/>
              <w:rPr>
                <w:sz w:val="4"/>
                <w:szCs w:val="4"/>
              </w:rPr>
            </w:pPr>
            <w:r>
              <w:rPr>
                <w:sz w:val="4"/>
                <w:szCs w:val="4"/>
              </w:rPr>
            </w:r>
          </w:p>
        </w:tc>
      </w:tr>
      <w:tr>
        <w:trPr/>
        <w:tc>
          <w:tcPr>
            <w:tcW w:w="12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13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Notices to Trustee</w:t>
            </w:r>
          </w:p>
        </w:tc>
        <w:tc>
          <w:tcPr>
            <w:tcW w:w="13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c>
          <w:tcPr>
            <w:tcW w:w="12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13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Selection of Notes to Be Redeemed</w:t>
            </w:r>
          </w:p>
        </w:tc>
        <w:tc>
          <w:tcPr>
            <w:tcW w:w="13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c>
          <w:tcPr>
            <w:tcW w:w="12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13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Notice of Redemption</w:t>
            </w:r>
          </w:p>
        </w:tc>
        <w:tc>
          <w:tcPr>
            <w:tcW w:w="13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c>
          <w:tcPr>
            <w:tcW w:w="12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3.04</w:t>
            </w:r>
          </w:p>
        </w:tc>
        <w:tc>
          <w:tcPr>
            <w:tcW w:w="13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Effect of Notice of Redemption</w:t>
            </w:r>
          </w:p>
        </w:tc>
        <w:tc>
          <w:tcPr>
            <w:tcW w:w="13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r>
        <w:trPr/>
        <w:tc>
          <w:tcPr>
            <w:tcW w:w="12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3.05</w:t>
            </w:r>
          </w:p>
        </w:tc>
        <w:tc>
          <w:tcPr>
            <w:tcW w:w="13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Deposit of Redemption Price</w:t>
            </w:r>
          </w:p>
        </w:tc>
        <w:tc>
          <w:tcPr>
            <w:tcW w:w="13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c>
          <w:tcPr>
            <w:tcW w:w="12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3.06</w:t>
            </w:r>
          </w:p>
        </w:tc>
        <w:tc>
          <w:tcPr>
            <w:tcW w:w="13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Notes Redeemed in Part</w:t>
            </w:r>
          </w:p>
        </w:tc>
        <w:tc>
          <w:tcPr>
            <w:tcW w:w="13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c>
          <w:tcPr>
            <w:tcW w:w="12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3.07</w:t>
            </w:r>
          </w:p>
        </w:tc>
        <w:tc>
          <w:tcPr>
            <w:tcW w:w="13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Optional Redemption</w:t>
            </w:r>
          </w:p>
        </w:tc>
        <w:tc>
          <w:tcPr>
            <w:tcW w:w="13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c>
          <w:tcPr>
            <w:tcW w:w="12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3.08</w:t>
            </w:r>
          </w:p>
        </w:tc>
        <w:tc>
          <w:tcPr>
            <w:tcW w:w="13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Mandatory Redemption</w:t>
            </w:r>
          </w:p>
        </w:tc>
        <w:tc>
          <w:tcPr>
            <w:tcW w:w="13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right"/>
              <w:rPr/>
            </w:pPr>
            <w:r>
              <w:rPr/>
              <w:t>25</w:t>
            </w:r>
          </w:p>
        </w:tc>
        <w:tc>
          <w:tcPr>
            <w:tcW w:w="64" w:type="dxa"/>
            <w:tcBorders/>
            <w:vAlign w:val="bottom"/>
          </w:tcPr>
          <w:p>
            <w:pPr>
              <w:pStyle w:val="TableContents"/>
              <w:bidi w:val="0"/>
              <w:spacing w:before="0" w:after="283"/>
              <w:jc w:val="left"/>
              <w:rPr/>
            </w:pPr>
            <w:r>
              <w:rPr/>
              <w:t> </w:t>
            </w:r>
          </w:p>
        </w:tc>
      </w:tr>
      <w:tr>
        <w:trPr>
          <w:trHeight w:val="120" w:hRule="atLeast"/>
        </w:trPr>
        <w:tc>
          <w:tcPr>
            <w:tcW w:w="1254" w:type="dxa"/>
            <w:tcBorders/>
            <w:vAlign w:val="center"/>
          </w:tcPr>
          <w:p>
            <w:pPr>
              <w:pStyle w:val="TableContents"/>
              <w:bidi w:val="0"/>
              <w:spacing w:before="0" w:after="283"/>
              <w:jc w:val="left"/>
              <w:rPr>
                <w:sz w:val="4"/>
                <w:szCs w:val="4"/>
              </w:rPr>
            </w:pPr>
            <w:r>
              <w:rPr>
                <w:sz w:val="4"/>
                <w:szCs w:val="4"/>
              </w:rPr>
            </w:r>
          </w:p>
        </w:tc>
        <w:tc>
          <w:tcPr>
            <w:tcW w:w="8368" w:type="dxa"/>
            <w:gridSpan w:val="2"/>
            <w:tcBorders/>
            <w:vAlign w:val="center"/>
          </w:tcPr>
          <w:p>
            <w:pPr>
              <w:pStyle w:val="TableContents"/>
              <w:bidi w:val="0"/>
              <w:spacing w:before="0" w:after="283"/>
              <w:jc w:val="left"/>
              <w:rPr>
                <w:sz w:val="4"/>
                <w:szCs w:val="4"/>
              </w:rPr>
            </w:pPr>
            <w:r>
              <w:rPr>
                <w:sz w:val="4"/>
                <w:szCs w:val="4"/>
              </w:rPr>
            </w:r>
          </w:p>
        </w:tc>
        <w:tc>
          <w:tcPr>
            <w:tcW w:w="583" w:type="dxa"/>
            <w:gridSpan w:val="4"/>
            <w:tcBorders/>
            <w:vAlign w:val="center"/>
          </w:tcPr>
          <w:p>
            <w:pPr>
              <w:pStyle w:val="TableContents"/>
              <w:bidi w:val="0"/>
              <w:spacing w:before="0" w:after="283"/>
              <w:jc w:val="left"/>
              <w:rPr>
                <w:sz w:val="4"/>
                <w:szCs w:val="4"/>
              </w:rPr>
            </w:pPr>
            <w:r>
              <w:rPr>
                <w:sz w:val="4"/>
                <w:szCs w:val="4"/>
              </w:rPr>
            </w:r>
          </w:p>
        </w:tc>
      </w:tr>
      <w:tr>
        <w:trPr/>
        <w:tc>
          <w:tcPr>
            <w:tcW w:w="1254"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center"/>
              <w:rPr/>
            </w:pPr>
            <w:r>
              <w:rPr/>
              <w:t>ARTICLE 4</w:t>
            </w:r>
          </w:p>
        </w:tc>
        <w:tc>
          <w:tcPr>
            <w:tcW w:w="13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254" w:type="dxa"/>
            <w:tcBorders/>
            <w:vAlign w:val="center"/>
          </w:tcPr>
          <w:p>
            <w:pPr>
              <w:pStyle w:val="TableContents"/>
              <w:bidi w:val="0"/>
              <w:spacing w:before="0" w:after="283"/>
              <w:jc w:val="left"/>
              <w:rPr>
                <w:sz w:val="4"/>
                <w:szCs w:val="4"/>
              </w:rPr>
            </w:pPr>
            <w:r>
              <w:rPr>
                <w:sz w:val="4"/>
                <w:szCs w:val="4"/>
              </w:rPr>
            </w:r>
          </w:p>
        </w:tc>
        <w:tc>
          <w:tcPr>
            <w:tcW w:w="8368" w:type="dxa"/>
            <w:gridSpan w:val="2"/>
            <w:tcBorders/>
            <w:vAlign w:val="center"/>
          </w:tcPr>
          <w:p>
            <w:pPr>
              <w:pStyle w:val="TableContents"/>
              <w:bidi w:val="0"/>
              <w:spacing w:before="0" w:after="283"/>
              <w:jc w:val="left"/>
              <w:rPr>
                <w:sz w:val="4"/>
                <w:szCs w:val="4"/>
              </w:rPr>
            </w:pPr>
            <w:r>
              <w:rPr>
                <w:sz w:val="4"/>
                <w:szCs w:val="4"/>
              </w:rPr>
            </w:r>
          </w:p>
        </w:tc>
        <w:tc>
          <w:tcPr>
            <w:tcW w:w="583" w:type="dxa"/>
            <w:gridSpan w:val="4"/>
            <w:tcBorders/>
            <w:vAlign w:val="center"/>
          </w:tcPr>
          <w:p>
            <w:pPr>
              <w:pStyle w:val="TableContents"/>
              <w:bidi w:val="0"/>
              <w:spacing w:before="0" w:after="283"/>
              <w:jc w:val="left"/>
              <w:rPr>
                <w:sz w:val="4"/>
                <w:szCs w:val="4"/>
              </w:rPr>
            </w:pPr>
            <w:r>
              <w:rPr>
                <w:sz w:val="4"/>
                <w:szCs w:val="4"/>
              </w:rPr>
            </w:r>
          </w:p>
        </w:tc>
      </w:tr>
      <w:tr>
        <w:trPr/>
        <w:tc>
          <w:tcPr>
            <w:tcW w:w="1254"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center"/>
              <w:rPr/>
            </w:pPr>
            <w:r>
              <w:rPr/>
              <w:t>COVENANTS</w:t>
            </w:r>
          </w:p>
        </w:tc>
        <w:tc>
          <w:tcPr>
            <w:tcW w:w="13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254" w:type="dxa"/>
            <w:tcBorders/>
            <w:vAlign w:val="center"/>
          </w:tcPr>
          <w:p>
            <w:pPr>
              <w:pStyle w:val="TableContents"/>
              <w:bidi w:val="0"/>
              <w:spacing w:before="0" w:after="283"/>
              <w:jc w:val="left"/>
              <w:rPr>
                <w:sz w:val="4"/>
                <w:szCs w:val="4"/>
              </w:rPr>
            </w:pPr>
            <w:r>
              <w:rPr>
                <w:sz w:val="4"/>
                <w:szCs w:val="4"/>
              </w:rPr>
            </w:r>
          </w:p>
        </w:tc>
        <w:tc>
          <w:tcPr>
            <w:tcW w:w="8368" w:type="dxa"/>
            <w:gridSpan w:val="2"/>
            <w:tcBorders/>
            <w:vAlign w:val="center"/>
          </w:tcPr>
          <w:p>
            <w:pPr>
              <w:pStyle w:val="TableContents"/>
              <w:bidi w:val="0"/>
              <w:spacing w:before="0" w:after="283"/>
              <w:jc w:val="left"/>
              <w:rPr>
                <w:sz w:val="4"/>
                <w:szCs w:val="4"/>
              </w:rPr>
            </w:pPr>
            <w:r>
              <w:rPr>
                <w:sz w:val="4"/>
                <w:szCs w:val="4"/>
              </w:rPr>
            </w:r>
          </w:p>
        </w:tc>
        <w:tc>
          <w:tcPr>
            <w:tcW w:w="583" w:type="dxa"/>
            <w:gridSpan w:val="4"/>
            <w:tcBorders/>
            <w:vAlign w:val="center"/>
          </w:tcPr>
          <w:p>
            <w:pPr>
              <w:pStyle w:val="TableContents"/>
              <w:bidi w:val="0"/>
              <w:spacing w:before="0" w:after="283"/>
              <w:jc w:val="left"/>
              <w:rPr>
                <w:sz w:val="4"/>
                <w:szCs w:val="4"/>
              </w:rPr>
            </w:pPr>
            <w:r>
              <w:rPr>
                <w:sz w:val="4"/>
                <w:szCs w:val="4"/>
              </w:rPr>
            </w:r>
          </w:p>
        </w:tc>
      </w:tr>
      <w:tr>
        <w:trPr/>
        <w:tc>
          <w:tcPr>
            <w:tcW w:w="12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13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Payment of Notes</w:t>
            </w:r>
          </w:p>
        </w:tc>
        <w:tc>
          <w:tcPr>
            <w:tcW w:w="13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right"/>
              <w:rPr/>
            </w:pPr>
            <w:r>
              <w:rPr/>
              <w:t>25</w:t>
            </w:r>
          </w:p>
        </w:tc>
        <w:tc>
          <w:tcPr>
            <w:tcW w:w="64" w:type="dxa"/>
            <w:tcBorders/>
            <w:vAlign w:val="bottom"/>
          </w:tcPr>
          <w:p>
            <w:pPr>
              <w:pStyle w:val="TableContents"/>
              <w:bidi w:val="0"/>
              <w:spacing w:before="0" w:after="283"/>
              <w:jc w:val="left"/>
              <w:rPr/>
            </w:pPr>
            <w:r>
              <w:rPr/>
              <w:t> </w:t>
            </w:r>
          </w:p>
        </w:tc>
      </w:tr>
      <w:tr>
        <w:trPr/>
        <w:tc>
          <w:tcPr>
            <w:tcW w:w="12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13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Maintenance of Office or Agency</w:t>
            </w:r>
          </w:p>
        </w:tc>
        <w:tc>
          <w:tcPr>
            <w:tcW w:w="13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right"/>
              <w:rPr/>
            </w:pPr>
            <w:r>
              <w:rPr/>
              <w:t>25</w:t>
            </w:r>
          </w:p>
        </w:tc>
        <w:tc>
          <w:tcPr>
            <w:tcW w:w="64" w:type="dxa"/>
            <w:tcBorders/>
            <w:vAlign w:val="bottom"/>
          </w:tcPr>
          <w:p>
            <w:pPr>
              <w:pStyle w:val="TableContents"/>
              <w:bidi w:val="0"/>
              <w:spacing w:before="0" w:after="283"/>
              <w:jc w:val="left"/>
              <w:rPr/>
            </w:pPr>
            <w:r>
              <w:rPr/>
              <w:t> </w:t>
            </w:r>
          </w:p>
        </w:tc>
      </w:tr>
      <w:tr>
        <w:trPr/>
        <w:tc>
          <w:tcPr>
            <w:tcW w:w="12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4.03</w:t>
            </w:r>
          </w:p>
        </w:tc>
        <w:tc>
          <w:tcPr>
            <w:tcW w:w="13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Reports</w:t>
            </w:r>
          </w:p>
        </w:tc>
        <w:tc>
          <w:tcPr>
            <w:tcW w:w="13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11685" w:type="dxa"/>
        <w:jc w:val="center"/>
        <w:tblInd w:w="0" w:type="dxa"/>
        <w:tblLayout w:type="fixed"/>
        <w:tblCellMar>
          <w:top w:w="0" w:type="dxa"/>
          <w:left w:w="0" w:type="dxa"/>
          <w:bottom w:w="0" w:type="dxa"/>
          <w:right w:w="0" w:type="dxa"/>
        </w:tblCellMar>
      </w:tblPr>
      <w:tblGrid>
        <w:gridCol w:w="1040"/>
        <w:gridCol w:w="120"/>
        <w:gridCol w:w="10025"/>
        <w:gridCol w:w="120"/>
        <w:gridCol w:w="60"/>
        <w:gridCol w:w="260"/>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02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4.04</w:t>
            </w:r>
          </w:p>
        </w:tc>
        <w:tc>
          <w:tcPr>
            <w:tcW w:w="120" w:type="dxa"/>
            <w:tcBorders/>
            <w:vAlign w:val="bottom"/>
          </w:tcPr>
          <w:p>
            <w:pPr>
              <w:pStyle w:val="TableContents"/>
              <w:bidi w:val="0"/>
              <w:spacing w:before="0" w:after="283"/>
              <w:jc w:val="left"/>
              <w:rPr/>
            </w:pPr>
            <w:r>
              <w:rPr/>
              <w:t>  </w:t>
            </w:r>
          </w:p>
        </w:tc>
        <w:tc>
          <w:tcPr>
            <w:tcW w:w="10025" w:type="dxa"/>
            <w:tcBorders/>
            <w:vAlign w:val="bottom"/>
          </w:tcPr>
          <w:p>
            <w:pPr>
              <w:pStyle w:val="TableContents"/>
              <w:bidi w:val="0"/>
              <w:spacing w:before="0" w:after="283"/>
              <w:jc w:val="left"/>
              <w:rPr/>
            </w:pPr>
            <w:r>
              <w:rPr/>
              <w:t>Compliance Certificate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0"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4.05</w:t>
            </w:r>
          </w:p>
        </w:tc>
        <w:tc>
          <w:tcPr>
            <w:tcW w:w="120" w:type="dxa"/>
            <w:tcBorders/>
            <w:vAlign w:val="bottom"/>
          </w:tcPr>
          <w:p>
            <w:pPr>
              <w:pStyle w:val="TableContents"/>
              <w:bidi w:val="0"/>
              <w:spacing w:before="0" w:after="283"/>
              <w:jc w:val="left"/>
              <w:rPr/>
            </w:pPr>
            <w:r>
              <w:rPr/>
              <w:t>  </w:t>
            </w:r>
          </w:p>
        </w:tc>
        <w:tc>
          <w:tcPr>
            <w:tcW w:w="10025" w:type="dxa"/>
            <w:tcBorders/>
            <w:vAlign w:val="bottom"/>
          </w:tcPr>
          <w:p>
            <w:pPr>
              <w:pStyle w:val="TableContents"/>
              <w:bidi w:val="0"/>
              <w:spacing w:before="0" w:after="283"/>
              <w:jc w:val="left"/>
              <w:rPr/>
            </w:pPr>
            <w:r>
              <w:rPr/>
              <w:t>Limitation on Liens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0"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4.06</w:t>
            </w:r>
          </w:p>
        </w:tc>
        <w:tc>
          <w:tcPr>
            <w:tcW w:w="120" w:type="dxa"/>
            <w:tcBorders/>
            <w:vAlign w:val="bottom"/>
          </w:tcPr>
          <w:p>
            <w:pPr>
              <w:pStyle w:val="TableContents"/>
              <w:bidi w:val="0"/>
              <w:spacing w:before="0" w:after="283"/>
              <w:jc w:val="left"/>
              <w:rPr/>
            </w:pPr>
            <w:r>
              <w:rPr/>
              <w:t>  </w:t>
            </w:r>
          </w:p>
        </w:tc>
        <w:tc>
          <w:tcPr>
            <w:tcW w:w="10025" w:type="dxa"/>
            <w:tcBorders/>
            <w:vAlign w:val="bottom"/>
          </w:tcPr>
          <w:p>
            <w:pPr>
              <w:pStyle w:val="TableContents"/>
              <w:bidi w:val="0"/>
              <w:spacing w:before="0" w:after="283"/>
              <w:jc w:val="left"/>
              <w:rPr/>
            </w:pPr>
            <w:r>
              <w:rPr/>
              <w:t>Compliance with Laws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4.07</w:t>
            </w:r>
          </w:p>
        </w:tc>
        <w:tc>
          <w:tcPr>
            <w:tcW w:w="120" w:type="dxa"/>
            <w:tcBorders/>
            <w:vAlign w:val="bottom"/>
          </w:tcPr>
          <w:p>
            <w:pPr>
              <w:pStyle w:val="TableContents"/>
              <w:bidi w:val="0"/>
              <w:spacing w:before="0" w:after="283"/>
              <w:jc w:val="left"/>
              <w:rPr/>
            </w:pPr>
            <w:r>
              <w:rPr/>
              <w:t>  </w:t>
            </w:r>
          </w:p>
        </w:tc>
        <w:tc>
          <w:tcPr>
            <w:tcW w:w="10025" w:type="dxa"/>
            <w:tcBorders/>
            <w:vAlign w:val="bottom"/>
          </w:tcPr>
          <w:p>
            <w:pPr>
              <w:pStyle w:val="TableContents"/>
              <w:bidi w:val="0"/>
              <w:spacing w:before="0" w:after="283"/>
              <w:jc w:val="left"/>
              <w:rPr/>
            </w:pPr>
            <w:r>
              <w:rPr/>
              <w:t>Repurchase of Notes upon a Change of Control Triggering Event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4.08</w:t>
            </w:r>
          </w:p>
        </w:tc>
        <w:tc>
          <w:tcPr>
            <w:tcW w:w="120" w:type="dxa"/>
            <w:tcBorders/>
            <w:vAlign w:val="bottom"/>
          </w:tcPr>
          <w:p>
            <w:pPr>
              <w:pStyle w:val="TableContents"/>
              <w:bidi w:val="0"/>
              <w:spacing w:before="0" w:after="283"/>
              <w:jc w:val="left"/>
              <w:rPr/>
            </w:pPr>
            <w:r>
              <w:rPr/>
              <w:t>  </w:t>
            </w:r>
          </w:p>
        </w:tc>
        <w:tc>
          <w:tcPr>
            <w:tcW w:w="10025" w:type="dxa"/>
            <w:tcBorders/>
            <w:vAlign w:val="bottom"/>
          </w:tcPr>
          <w:p>
            <w:pPr>
              <w:pStyle w:val="TableContents"/>
              <w:bidi w:val="0"/>
              <w:spacing w:before="0" w:after="283"/>
              <w:jc w:val="left"/>
              <w:rPr/>
            </w:pPr>
            <w:r>
              <w:rPr/>
              <w:t>Limitation on Sale and Leasebacks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14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025" w:type="dxa"/>
            <w:tcBorders/>
            <w:vAlign w:val="bottom"/>
          </w:tcPr>
          <w:p>
            <w:pPr>
              <w:pStyle w:val="TableContents"/>
              <w:bidi w:val="0"/>
              <w:spacing w:before="0" w:after="283"/>
              <w:jc w:val="center"/>
              <w:rPr/>
            </w:pPr>
            <w:r>
              <w:rPr/>
              <w:t>ARTICLE 5</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14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025" w:type="dxa"/>
            <w:tcBorders/>
            <w:vAlign w:val="bottom"/>
          </w:tcPr>
          <w:p>
            <w:pPr>
              <w:pStyle w:val="TableContents"/>
              <w:bidi w:val="0"/>
              <w:spacing w:before="0" w:after="283"/>
              <w:jc w:val="center"/>
              <w:rPr/>
            </w:pPr>
            <w:r>
              <w:rPr/>
              <w:t>SUCCESSORS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14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120" w:type="dxa"/>
            <w:tcBorders/>
            <w:vAlign w:val="bottom"/>
          </w:tcPr>
          <w:p>
            <w:pPr>
              <w:pStyle w:val="TableContents"/>
              <w:bidi w:val="0"/>
              <w:spacing w:before="0" w:after="283"/>
              <w:jc w:val="left"/>
              <w:rPr/>
            </w:pPr>
            <w:r>
              <w:rPr/>
              <w:t>  </w:t>
            </w:r>
          </w:p>
        </w:tc>
        <w:tc>
          <w:tcPr>
            <w:tcW w:w="10025" w:type="dxa"/>
            <w:tcBorders/>
            <w:vAlign w:val="bottom"/>
          </w:tcPr>
          <w:p>
            <w:pPr>
              <w:pStyle w:val="TableContents"/>
              <w:bidi w:val="0"/>
              <w:spacing w:before="0" w:after="283"/>
              <w:jc w:val="left"/>
              <w:rPr/>
            </w:pPr>
            <w:r>
              <w:rPr/>
              <w:t>Consolidation, Merger and Sale of Assets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14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025" w:type="dxa"/>
            <w:tcBorders/>
            <w:vAlign w:val="bottom"/>
          </w:tcPr>
          <w:p>
            <w:pPr>
              <w:pStyle w:val="TableContents"/>
              <w:bidi w:val="0"/>
              <w:spacing w:before="0" w:after="283"/>
              <w:jc w:val="center"/>
              <w:rPr/>
            </w:pPr>
            <w:r>
              <w:rPr/>
              <w:t>ARTICLE 6</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14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025" w:type="dxa"/>
            <w:tcBorders/>
            <w:vAlign w:val="bottom"/>
          </w:tcPr>
          <w:p>
            <w:pPr>
              <w:pStyle w:val="TableContents"/>
              <w:bidi w:val="0"/>
              <w:spacing w:before="0" w:after="283"/>
              <w:jc w:val="center"/>
              <w:rPr/>
            </w:pPr>
            <w:r>
              <w:rPr/>
              <w:t>DEFAULTS AND REMEDIES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14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120" w:type="dxa"/>
            <w:tcBorders/>
            <w:vAlign w:val="bottom"/>
          </w:tcPr>
          <w:p>
            <w:pPr>
              <w:pStyle w:val="TableContents"/>
              <w:bidi w:val="0"/>
              <w:spacing w:before="0" w:after="283"/>
              <w:jc w:val="left"/>
              <w:rPr/>
            </w:pPr>
            <w:r>
              <w:rPr/>
              <w:t>  </w:t>
            </w:r>
          </w:p>
        </w:tc>
        <w:tc>
          <w:tcPr>
            <w:tcW w:w="10025" w:type="dxa"/>
            <w:tcBorders/>
            <w:vAlign w:val="bottom"/>
          </w:tcPr>
          <w:p>
            <w:pPr>
              <w:pStyle w:val="TableContents"/>
              <w:bidi w:val="0"/>
              <w:spacing w:before="0" w:after="283"/>
              <w:jc w:val="left"/>
              <w:rPr/>
            </w:pPr>
            <w:r>
              <w:rPr/>
              <w:t>Events of Default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0"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120" w:type="dxa"/>
            <w:tcBorders/>
            <w:vAlign w:val="bottom"/>
          </w:tcPr>
          <w:p>
            <w:pPr>
              <w:pStyle w:val="TableContents"/>
              <w:bidi w:val="0"/>
              <w:spacing w:before="0" w:after="283"/>
              <w:jc w:val="left"/>
              <w:rPr/>
            </w:pPr>
            <w:r>
              <w:rPr/>
              <w:t>  </w:t>
            </w:r>
          </w:p>
        </w:tc>
        <w:tc>
          <w:tcPr>
            <w:tcW w:w="10025" w:type="dxa"/>
            <w:tcBorders/>
            <w:vAlign w:val="bottom"/>
          </w:tcPr>
          <w:p>
            <w:pPr>
              <w:pStyle w:val="TableContents"/>
              <w:bidi w:val="0"/>
              <w:spacing w:before="0" w:after="283"/>
              <w:jc w:val="left"/>
              <w:rPr/>
            </w:pPr>
            <w:r>
              <w:rPr/>
              <w:t>Acceleration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0"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120" w:type="dxa"/>
            <w:tcBorders/>
            <w:vAlign w:val="bottom"/>
          </w:tcPr>
          <w:p>
            <w:pPr>
              <w:pStyle w:val="TableContents"/>
              <w:bidi w:val="0"/>
              <w:spacing w:before="0" w:after="283"/>
              <w:jc w:val="left"/>
              <w:rPr/>
            </w:pPr>
            <w:r>
              <w:rPr/>
              <w:t>  </w:t>
            </w:r>
          </w:p>
        </w:tc>
        <w:tc>
          <w:tcPr>
            <w:tcW w:w="10025" w:type="dxa"/>
            <w:tcBorders/>
            <w:vAlign w:val="bottom"/>
          </w:tcPr>
          <w:p>
            <w:pPr>
              <w:pStyle w:val="TableContents"/>
              <w:bidi w:val="0"/>
              <w:spacing w:before="0" w:after="283"/>
              <w:jc w:val="left"/>
              <w:rPr/>
            </w:pPr>
            <w:r>
              <w:rPr/>
              <w:t>Other Remedies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37</w:t>
            </w:r>
          </w:p>
        </w:tc>
        <w:tc>
          <w:tcPr>
            <w:tcW w:w="60"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6.04</w:t>
            </w:r>
          </w:p>
        </w:tc>
        <w:tc>
          <w:tcPr>
            <w:tcW w:w="120" w:type="dxa"/>
            <w:tcBorders/>
            <w:vAlign w:val="bottom"/>
          </w:tcPr>
          <w:p>
            <w:pPr>
              <w:pStyle w:val="TableContents"/>
              <w:bidi w:val="0"/>
              <w:spacing w:before="0" w:after="283"/>
              <w:jc w:val="left"/>
              <w:rPr/>
            </w:pPr>
            <w:r>
              <w:rPr/>
              <w:t>  </w:t>
            </w:r>
          </w:p>
        </w:tc>
        <w:tc>
          <w:tcPr>
            <w:tcW w:w="10025" w:type="dxa"/>
            <w:tcBorders/>
            <w:vAlign w:val="bottom"/>
          </w:tcPr>
          <w:p>
            <w:pPr>
              <w:pStyle w:val="TableContents"/>
              <w:bidi w:val="0"/>
              <w:spacing w:before="0" w:after="283"/>
              <w:jc w:val="left"/>
              <w:rPr/>
            </w:pPr>
            <w:r>
              <w:rPr/>
              <w:t>Waiver of Past Defaults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37</w:t>
            </w:r>
          </w:p>
        </w:tc>
        <w:tc>
          <w:tcPr>
            <w:tcW w:w="60"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6.05</w:t>
            </w:r>
          </w:p>
        </w:tc>
        <w:tc>
          <w:tcPr>
            <w:tcW w:w="120" w:type="dxa"/>
            <w:tcBorders/>
            <w:vAlign w:val="bottom"/>
          </w:tcPr>
          <w:p>
            <w:pPr>
              <w:pStyle w:val="TableContents"/>
              <w:bidi w:val="0"/>
              <w:spacing w:before="0" w:after="283"/>
              <w:jc w:val="left"/>
              <w:rPr/>
            </w:pPr>
            <w:r>
              <w:rPr/>
              <w:t>  </w:t>
            </w:r>
          </w:p>
        </w:tc>
        <w:tc>
          <w:tcPr>
            <w:tcW w:w="10025" w:type="dxa"/>
            <w:tcBorders/>
            <w:vAlign w:val="bottom"/>
          </w:tcPr>
          <w:p>
            <w:pPr>
              <w:pStyle w:val="TableContents"/>
              <w:bidi w:val="0"/>
              <w:spacing w:before="0" w:after="283"/>
              <w:jc w:val="left"/>
              <w:rPr/>
            </w:pPr>
            <w:r>
              <w:rPr/>
              <w:t>Control by Majority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37</w:t>
            </w:r>
          </w:p>
        </w:tc>
        <w:tc>
          <w:tcPr>
            <w:tcW w:w="60"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6.06</w:t>
            </w:r>
          </w:p>
        </w:tc>
        <w:tc>
          <w:tcPr>
            <w:tcW w:w="120" w:type="dxa"/>
            <w:tcBorders/>
            <w:vAlign w:val="bottom"/>
          </w:tcPr>
          <w:p>
            <w:pPr>
              <w:pStyle w:val="TableContents"/>
              <w:bidi w:val="0"/>
              <w:spacing w:before="0" w:after="283"/>
              <w:jc w:val="left"/>
              <w:rPr/>
            </w:pPr>
            <w:r>
              <w:rPr/>
              <w:t>  </w:t>
            </w:r>
          </w:p>
        </w:tc>
        <w:tc>
          <w:tcPr>
            <w:tcW w:w="10025" w:type="dxa"/>
            <w:tcBorders/>
            <w:vAlign w:val="bottom"/>
          </w:tcPr>
          <w:p>
            <w:pPr>
              <w:pStyle w:val="TableContents"/>
              <w:bidi w:val="0"/>
              <w:spacing w:before="0" w:after="283"/>
              <w:jc w:val="left"/>
              <w:rPr/>
            </w:pPr>
            <w:r>
              <w:rPr/>
              <w:t>Limitation on Suits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6.07</w:t>
            </w:r>
          </w:p>
        </w:tc>
        <w:tc>
          <w:tcPr>
            <w:tcW w:w="120" w:type="dxa"/>
            <w:tcBorders/>
            <w:vAlign w:val="bottom"/>
          </w:tcPr>
          <w:p>
            <w:pPr>
              <w:pStyle w:val="TableContents"/>
              <w:bidi w:val="0"/>
              <w:spacing w:before="0" w:after="283"/>
              <w:jc w:val="left"/>
              <w:rPr/>
            </w:pPr>
            <w:r>
              <w:rPr/>
              <w:t>  </w:t>
            </w:r>
          </w:p>
        </w:tc>
        <w:tc>
          <w:tcPr>
            <w:tcW w:w="10025" w:type="dxa"/>
            <w:tcBorders/>
            <w:vAlign w:val="bottom"/>
          </w:tcPr>
          <w:p>
            <w:pPr>
              <w:pStyle w:val="TableContents"/>
              <w:bidi w:val="0"/>
              <w:spacing w:before="0" w:after="283"/>
              <w:jc w:val="left"/>
              <w:rPr/>
            </w:pPr>
            <w:r>
              <w:rPr/>
              <w:t>Priorities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6.08</w:t>
            </w:r>
          </w:p>
        </w:tc>
        <w:tc>
          <w:tcPr>
            <w:tcW w:w="120" w:type="dxa"/>
            <w:tcBorders/>
            <w:vAlign w:val="bottom"/>
          </w:tcPr>
          <w:p>
            <w:pPr>
              <w:pStyle w:val="TableContents"/>
              <w:bidi w:val="0"/>
              <w:spacing w:before="0" w:after="283"/>
              <w:jc w:val="left"/>
              <w:rPr/>
            </w:pPr>
            <w:r>
              <w:rPr/>
              <w:t>  </w:t>
            </w:r>
          </w:p>
        </w:tc>
        <w:tc>
          <w:tcPr>
            <w:tcW w:w="10025" w:type="dxa"/>
            <w:tcBorders/>
            <w:vAlign w:val="bottom"/>
          </w:tcPr>
          <w:p>
            <w:pPr>
              <w:pStyle w:val="TableContents"/>
              <w:bidi w:val="0"/>
              <w:spacing w:before="0" w:after="283"/>
              <w:jc w:val="left"/>
              <w:rPr/>
            </w:pPr>
            <w:r>
              <w:rPr/>
              <w:t>Unconditional Right of Holders to Receive Principal of or Premium, if any, or Interest on the Notes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6.09</w:t>
            </w:r>
          </w:p>
        </w:tc>
        <w:tc>
          <w:tcPr>
            <w:tcW w:w="120" w:type="dxa"/>
            <w:tcBorders/>
            <w:vAlign w:val="bottom"/>
          </w:tcPr>
          <w:p>
            <w:pPr>
              <w:pStyle w:val="TableContents"/>
              <w:bidi w:val="0"/>
              <w:spacing w:before="0" w:after="283"/>
              <w:jc w:val="left"/>
              <w:rPr/>
            </w:pPr>
            <w:r>
              <w:rPr/>
              <w:t>  </w:t>
            </w:r>
          </w:p>
        </w:tc>
        <w:tc>
          <w:tcPr>
            <w:tcW w:w="10025" w:type="dxa"/>
            <w:tcBorders/>
            <w:vAlign w:val="bottom"/>
          </w:tcPr>
          <w:p>
            <w:pPr>
              <w:pStyle w:val="TableContents"/>
              <w:bidi w:val="0"/>
              <w:spacing w:before="0" w:after="283"/>
              <w:jc w:val="left"/>
              <w:rPr/>
            </w:pPr>
            <w:r>
              <w:rPr/>
              <w:t>Additional Provisions Applicable to Events of Default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14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025" w:type="dxa"/>
            <w:tcBorders/>
            <w:vAlign w:val="bottom"/>
          </w:tcPr>
          <w:p>
            <w:pPr>
              <w:pStyle w:val="TableContents"/>
              <w:bidi w:val="0"/>
              <w:spacing w:before="0" w:after="283"/>
              <w:jc w:val="center"/>
              <w:rPr/>
            </w:pPr>
            <w:r>
              <w:rPr/>
              <w:t>ARTICLE 7</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14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025" w:type="dxa"/>
            <w:tcBorders/>
            <w:vAlign w:val="bottom"/>
          </w:tcPr>
          <w:p>
            <w:pPr>
              <w:pStyle w:val="TableContents"/>
              <w:bidi w:val="0"/>
              <w:spacing w:before="0" w:after="283"/>
              <w:jc w:val="center"/>
              <w:rPr/>
            </w:pPr>
            <w:r>
              <w:rPr/>
              <w:t>[RESERVED]</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14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025" w:type="dxa"/>
            <w:tcBorders/>
            <w:vAlign w:val="bottom"/>
          </w:tcPr>
          <w:p>
            <w:pPr>
              <w:pStyle w:val="TableContents"/>
              <w:bidi w:val="0"/>
              <w:spacing w:before="0" w:after="283"/>
              <w:jc w:val="center"/>
              <w:rPr/>
            </w:pPr>
            <w:r>
              <w:rPr/>
              <w:t>ARTICLE 8</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14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025" w:type="dxa"/>
            <w:tcBorders/>
            <w:vAlign w:val="bottom"/>
          </w:tcPr>
          <w:p>
            <w:pPr>
              <w:pStyle w:val="TableContents"/>
              <w:bidi w:val="0"/>
              <w:spacing w:before="0" w:after="283"/>
              <w:jc w:val="center"/>
              <w:rPr/>
            </w:pPr>
            <w:r>
              <w:rPr/>
              <w:t>LEGAL DEFEASANCE AND COVENANT DEFEASANCE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14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120" w:type="dxa"/>
            <w:tcBorders/>
            <w:vAlign w:val="bottom"/>
          </w:tcPr>
          <w:p>
            <w:pPr>
              <w:pStyle w:val="TableContents"/>
              <w:bidi w:val="0"/>
              <w:spacing w:before="0" w:after="283"/>
              <w:jc w:val="left"/>
              <w:rPr/>
            </w:pPr>
            <w:r>
              <w:rPr/>
              <w:t>  </w:t>
            </w:r>
          </w:p>
        </w:tc>
        <w:tc>
          <w:tcPr>
            <w:tcW w:w="10025" w:type="dxa"/>
            <w:tcBorders/>
            <w:vAlign w:val="bottom"/>
          </w:tcPr>
          <w:p>
            <w:pPr>
              <w:pStyle w:val="TableContents"/>
              <w:bidi w:val="0"/>
              <w:spacing w:before="0" w:after="283"/>
              <w:jc w:val="left"/>
              <w:rPr/>
            </w:pPr>
            <w:r>
              <w:rPr/>
              <w:t>Legal Defeasance and Covenant Defeasance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120" w:type="dxa"/>
            <w:tcBorders/>
            <w:vAlign w:val="bottom"/>
          </w:tcPr>
          <w:p>
            <w:pPr>
              <w:pStyle w:val="TableContents"/>
              <w:bidi w:val="0"/>
              <w:spacing w:before="0" w:after="283"/>
              <w:jc w:val="left"/>
              <w:rPr/>
            </w:pPr>
            <w:r>
              <w:rPr/>
              <w:t>  </w:t>
            </w:r>
          </w:p>
        </w:tc>
        <w:tc>
          <w:tcPr>
            <w:tcW w:w="10025" w:type="dxa"/>
            <w:tcBorders/>
            <w:vAlign w:val="bottom"/>
          </w:tcPr>
          <w:p>
            <w:pPr>
              <w:pStyle w:val="TableContents"/>
              <w:bidi w:val="0"/>
              <w:spacing w:before="0" w:after="283"/>
              <w:jc w:val="left"/>
              <w:rPr/>
            </w:pPr>
            <w:r>
              <w:rPr/>
              <w:t>Conditions to Legal Defeasance or Covenant Defeasance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40</w:t>
            </w:r>
          </w:p>
        </w:tc>
        <w:tc>
          <w:tcPr>
            <w:tcW w:w="60"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8.03</w:t>
            </w:r>
          </w:p>
        </w:tc>
        <w:tc>
          <w:tcPr>
            <w:tcW w:w="120" w:type="dxa"/>
            <w:tcBorders/>
            <w:vAlign w:val="bottom"/>
          </w:tcPr>
          <w:p>
            <w:pPr>
              <w:pStyle w:val="TableContents"/>
              <w:bidi w:val="0"/>
              <w:spacing w:before="0" w:after="283"/>
              <w:jc w:val="left"/>
              <w:rPr/>
            </w:pPr>
            <w:r>
              <w:rPr/>
              <w:t>  </w:t>
            </w:r>
          </w:p>
        </w:tc>
        <w:tc>
          <w:tcPr>
            <w:tcW w:w="10025" w:type="dxa"/>
            <w:tcBorders/>
            <w:vAlign w:val="bottom"/>
          </w:tcPr>
          <w:p>
            <w:pPr>
              <w:pStyle w:val="TableContents"/>
              <w:bidi w:val="0"/>
              <w:spacing w:before="0" w:after="283"/>
              <w:jc w:val="left"/>
              <w:rPr/>
            </w:pPr>
            <w:r>
              <w:rPr/>
              <w:t>Deposited Money and U.S. Government Obligations to Be Held in Trust; Other Miscellaneous Provisions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41</w:t>
            </w:r>
          </w:p>
        </w:tc>
        <w:tc>
          <w:tcPr>
            <w:tcW w:w="60"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8.04</w:t>
            </w:r>
          </w:p>
        </w:tc>
        <w:tc>
          <w:tcPr>
            <w:tcW w:w="120" w:type="dxa"/>
            <w:tcBorders/>
            <w:vAlign w:val="bottom"/>
          </w:tcPr>
          <w:p>
            <w:pPr>
              <w:pStyle w:val="TableContents"/>
              <w:bidi w:val="0"/>
              <w:spacing w:before="0" w:after="283"/>
              <w:jc w:val="left"/>
              <w:rPr/>
            </w:pPr>
            <w:r>
              <w:rPr/>
              <w:t>  </w:t>
            </w:r>
          </w:p>
        </w:tc>
        <w:tc>
          <w:tcPr>
            <w:tcW w:w="10025" w:type="dxa"/>
            <w:tcBorders/>
            <w:vAlign w:val="bottom"/>
          </w:tcPr>
          <w:p>
            <w:pPr>
              <w:pStyle w:val="TableContents"/>
              <w:bidi w:val="0"/>
              <w:spacing w:before="0" w:after="283"/>
              <w:jc w:val="left"/>
              <w:rPr/>
            </w:pPr>
            <w:r>
              <w:rPr/>
              <w:t>Repayment to the Company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42</w:t>
            </w:r>
          </w:p>
        </w:tc>
        <w:tc>
          <w:tcPr>
            <w:tcW w:w="60"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8.05</w:t>
            </w:r>
          </w:p>
        </w:tc>
        <w:tc>
          <w:tcPr>
            <w:tcW w:w="120" w:type="dxa"/>
            <w:tcBorders/>
            <w:vAlign w:val="bottom"/>
          </w:tcPr>
          <w:p>
            <w:pPr>
              <w:pStyle w:val="TableContents"/>
              <w:bidi w:val="0"/>
              <w:spacing w:before="0" w:after="283"/>
              <w:jc w:val="left"/>
              <w:rPr/>
            </w:pPr>
            <w:r>
              <w:rPr/>
              <w:t>  </w:t>
            </w:r>
          </w:p>
        </w:tc>
        <w:tc>
          <w:tcPr>
            <w:tcW w:w="10025" w:type="dxa"/>
            <w:tcBorders/>
            <w:vAlign w:val="bottom"/>
          </w:tcPr>
          <w:p>
            <w:pPr>
              <w:pStyle w:val="TableContents"/>
              <w:bidi w:val="0"/>
              <w:spacing w:before="0" w:after="283"/>
              <w:jc w:val="left"/>
              <w:rPr/>
            </w:pPr>
            <w:r>
              <w:rPr/>
              <w:t>Reinstatement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42</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165"/>
        <w:gridCol w:w="122"/>
        <w:gridCol w:w="8414"/>
        <w:gridCol w:w="122"/>
        <w:gridCol w:w="60"/>
        <w:gridCol w:w="260"/>
        <w:gridCol w:w="62"/>
      </w:tblGrid>
      <w:tr>
        <w:trPr/>
        <w:tc>
          <w:tcPr>
            <w:tcW w:w="116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841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1165"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8414" w:type="dxa"/>
            <w:tcBorders/>
            <w:vAlign w:val="bottom"/>
          </w:tcPr>
          <w:p>
            <w:pPr>
              <w:pStyle w:val="TableContents"/>
              <w:bidi w:val="0"/>
              <w:spacing w:before="0" w:after="283"/>
              <w:jc w:val="center"/>
              <w:rPr/>
            </w:pPr>
            <w:r>
              <w:rPr/>
              <w:t>ARTICLE 9</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165" w:type="dxa"/>
            <w:tcBorders/>
            <w:vAlign w:val="center"/>
          </w:tcPr>
          <w:p>
            <w:pPr>
              <w:pStyle w:val="TableContents"/>
              <w:bidi w:val="0"/>
              <w:spacing w:before="0" w:after="283"/>
              <w:jc w:val="left"/>
              <w:rPr>
                <w:sz w:val="4"/>
                <w:szCs w:val="4"/>
              </w:rPr>
            </w:pPr>
            <w:r>
              <w:rPr>
                <w:sz w:val="4"/>
                <w:szCs w:val="4"/>
              </w:rPr>
            </w:r>
          </w:p>
        </w:tc>
        <w:tc>
          <w:tcPr>
            <w:tcW w:w="8536" w:type="dxa"/>
            <w:gridSpan w:val="2"/>
            <w:tcBorders/>
            <w:vAlign w:val="center"/>
          </w:tcPr>
          <w:p>
            <w:pPr>
              <w:pStyle w:val="TableContents"/>
              <w:bidi w:val="0"/>
              <w:spacing w:before="0" w:after="283"/>
              <w:jc w:val="left"/>
              <w:rPr>
                <w:sz w:val="4"/>
                <w:szCs w:val="4"/>
              </w:rPr>
            </w:pPr>
            <w:r>
              <w:rPr>
                <w:sz w:val="4"/>
                <w:szCs w:val="4"/>
              </w:rPr>
            </w:r>
          </w:p>
        </w:tc>
        <w:tc>
          <w:tcPr>
            <w:tcW w:w="504" w:type="dxa"/>
            <w:gridSpan w:val="4"/>
            <w:tcBorders/>
            <w:vAlign w:val="center"/>
          </w:tcPr>
          <w:p>
            <w:pPr>
              <w:pStyle w:val="TableContents"/>
              <w:bidi w:val="0"/>
              <w:spacing w:before="0" w:after="283"/>
              <w:jc w:val="left"/>
              <w:rPr>
                <w:sz w:val="4"/>
                <w:szCs w:val="4"/>
              </w:rPr>
            </w:pPr>
            <w:r>
              <w:rPr>
                <w:sz w:val="4"/>
                <w:szCs w:val="4"/>
              </w:rPr>
            </w:r>
          </w:p>
        </w:tc>
      </w:tr>
      <w:tr>
        <w:trPr/>
        <w:tc>
          <w:tcPr>
            <w:tcW w:w="1165"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8414" w:type="dxa"/>
            <w:tcBorders/>
            <w:vAlign w:val="bottom"/>
          </w:tcPr>
          <w:p>
            <w:pPr>
              <w:pStyle w:val="TableContents"/>
              <w:bidi w:val="0"/>
              <w:spacing w:before="0" w:after="283"/>
              <w:jc w:val="center"/>
              <w:rPr/>
            </w:pPr>
            <w:r>
              <w:rPr/>
              <w:t>AMENDMENT, SUPPLEMENT AND WAIVER</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165" w:type="dxa"/>
            <w:tcBorders/>
            <w:vAlign w:val="center"/>
          </w:tcPr>
          <w:p>
            <w:pPr>
              <w:pStyle w:val="TableContents"/>
              <w:bidi w:val="0"/>
              <w:spacing w:before="0" w:after="283"/>
              <w:jc w:val="left"/>
              <w:rPr>
                <w:sz w:val="4"/>
                <w:szCs w:val="4"/>
              </w:rPr>
            </w:pPr>
            <w:r>
              <w:rPr>
                <w:sz w:val="4"/>
                <w:szCs w:val="4"/>
              </w:rPr>
            </w:r>
          </w:p>
        </w:tc>
        <w:tc>
          <w:tcPr>
            <w:tcW w:w="8536" w:type="dxa"/>
            <w:gridSpan w:val="2"/>
            <w:tcBorders/>
            <w:vAlign w:val="center"/>
          </w:tcPr>
          <w:p>
            <w:pPr>
              <w:pStyle w:val="TableContents"/>
              <w:bidi w:val="0"/>
              <w:spacing w:before="0" w:after="283"/>
              <w:jc w:val="left"/>
              <w:rPr>
                <w:sz w:val="4"/>
                <w:szCs w:val="4"/>
              </w:rPr>
            </w:pPr>
            <w:r>
              <w:rPr>
                <w:sz w:val="4"/>
                <w:szCs w:val="4"/>
              </w:rPr>
            </w:r>
          </w:p>
        </w:tc>
        <w:tc>
          <w:tcPr>
            <w:tcW w:w="504" w:type="dxa"/>
            <w:gridSpan w:val="4"/>
            <w:tcBorders/>
            <w:vAlign w:val="center"/>
          </w:tcPr>
          <w:p>
            <w:pPr>
              <w:pStyle w:val="TableContents"/>
              <w:bidi w:val="0"/>
              <w:spacing w:before="0" w:after="283"/>
              <w:jc w:val="left"/>
              <w:rPr>
                <w:sz w:val="4"/>
                <w:szCs w:val="4"/>
              </w:rPr>
            </w:pPr>
            <w:r>
              <w:rPr>
                <w:sz w:val="4"/>
                <w:szCs w:val="4"/>
              </w:rPr>
            </w:r>
          </w:p>
        </w:tc>
      </w:tr>
      <w:tr>
        <w:trPr/>
        <w:tc>
          <w:tcPr>
            <w:tcW w:w="11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122" w:type="dxa"/>
            <w:tcBorders/>
            <w:vAlign w:val="bottom"/>
          </w:tcPr>
          <w:p>
            <w:pPr>
              <w:pStyle w:val="TableContents"/>
              <w:bidi w:val="0"/>
              <w:spacing w:before="0" w:after="283"/>
              <w:jc w:val="left"/>
              <w:rPr/>
            </w:pPr>
            <w:r>
              <w:rPr/>
              <w:t>  </w:t>
            </w:r>
          </w:p>
        </w:tc>
        <w:tc>
          <w:tcPr>
            <w:tcW w:w="8414" w:type="dxa"/>
            <w:tcBorders/>
            <w:vAlign w:val="bottom"/>
          </w:tcPr>
          <w:p>
            <w:pPr>
              <w:pStyle w:val="TableContents"/>
              <w:bidi w:val="0"/>
              <w:spacing w:before="0" w:after="283"/>
              <w:jc w:val="left"/>
              <w:rPr/>
            </w:pPr>
            <w:r>
              <w:rPr/>
              <w:t>Without Consent of Holders of Notes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42</w:t>
            </w:r>
          </w:p>
        </w:tc>
        <w:tc>
          <w:tcPr>
            <w:tcW w:w="62" w:type="dxa"/>
            <w:tcBorders/>
            <w:vAlign w:val="bottom"/>
          </w:tcPr>
          <w:p>
            <w:pPr>
              <w:pStyle w:val="TableContents"/>
              <w:bidi w:val="0"/>
              <w:spacing w:before="0" w:after="283"/>
              <w:jc w:val="left"/>
              <w:rPr/>
            </w:pPr>
            <w:r>
              <w:rPr/>
              <w:t> </w:t>
            </w:r>
          </w:p>
        </w:tc>
      </w:tr>
      <w:tr>
        <w:trPr/>
        <w:tc>
          <w:tcPr>
            <w:tcW w:w="11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122" w:type="dxa"/>
            <w:tcBorders/>
            <w:vAlign w:val="bottom"/>
          </w:tcPr>
          <w:p>
            <w:pPr>
              <w:pStyle w:val="TableContents"/>
              <w:bidi w:val="0"/>
              <w:spacing w:before="0" w:after="283"/>
              <w:jc w:val="left"/>
              <w:rPr/>
            </w:pPr>
            <w:r>
              <w:rPr/>
              <w:t>  </w:t>
            </w:r>
          </w:p>
        </w:tc>
        <w:tc>
          <w:tcPr>
            <w:tcW w:w="8414" w:type="dxa"/>
            <w:tcBorders/>
            <w:vAlign w:val="bottom"/>
          </w:tcPr>
          <w:p>
            <w:pPr>
              <w:pStyle w:val="TableContents"/>
              <w:bidi w:val="0"/>
              <w:spacing w:before="0" w:after="283"/>
              <w:jc w:val="left"/>
              <w:rPr/>
            </w:pPr>
            <w:r>
              <w:rPr/>
              <w:t>With Consent of Holders of Notes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44</w:t>
            </w:r>
          </w:p>
        </w:tc>
        <w:tc>
          <w:tcPr>
            <w:tcW w:w="62" w:type="dxa"/>
            <w:tcBorders/>
            <w:vAlign w:val="bottom"/>
          </w:tcPr>
          <w:p>
            <w:pPr>
              <w:pStyle w:val="TableContents"/>
              <w:bidi w:val="0"/>
              <w:spacing w:before="0" w:after="283"/>
              <w:jc w:val="left"/>
              <w:rPr/>
            </w:pPr>
            <w:r>
              <w:rPr/>
              <w:t> </w:t>
            </w:r>
          </w:p>
        </w:tc>
      </w:tr>
      <w:tr>
        <w:trPr/>
        <w:tc>
          <w:tcPr>
            <w:tcW w:w="11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9.03</w:t>
            </w:r>
          </w:p>
        </w:tc>
        <w:tc>
          <w:tcPr>
            <w:tcW w:w="122" w:type="dxa"/>
            <w:tcBorders/>
            <w:vAlign w:val="bottom"/>
          </w:tcPr>
          <w:p>
            <w:pPr>
              <w:pStyle w:val="TableContents"/>
              <w:bidi w:val="0"/>
              <w:spacing w:before="0" w:after="283"/>
              <w:jc w:val="left"/>
              <w:rPr/>
            </w:pPr>
            <w:r>
              <w:rPr/>
              <w:t>  </w:t>
            </w:r>
          </w:p>
        </w:tc>
        <w:tc>
          <w:tcPr>
            <w:tcW w:w="8414" w:type="dxa"/>
            <w:tcBorders/>
            <w:vAlign w:val="bottom"/>
          </w:tcPr>
          <w:p>
            <w:pPr>
              <w:pStyle w:val="TableContents"/>
              <w:bidi w:val="0"/>
              <w:spacing w:before="0" w:after="283"/>
              <w:jc w:val="left"/>
              <w:rPr/>
            </w:pPr>
            <w:r>
              <w:rPr/>
              <w:t>Compliance with Trust Indenture Act</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45</w:t>
            </w:r>
          </w:p>
        </w:tc>
        <w:tc>
          <w:tcPr>
            <w:tcW w:w="62" w:type="dxa"/>
            <w:tcBorders/>
            <w:vAlign w:val="bottom"/>
          </w:tcPr>
          <w:p>
            <w:pPr>
              <w:pStyle w:val="TableContents"/>
              <w:bidi w:val="0"/>
              <w:spacing w:before="0" w:after="283"/>
              <w:jc w:val="left"/>
              <w:rPr/>
            </w:pPr>
            <w:r>
              <w:rPr/>
              <w:t> </w:t>
            </w:r>
          </w:p>
        </w:tc>
      </w:tr>
      <w:tr>
        <w:trPr/>
        <w:tc>
          <w:tcPr>
            <w:tcW w:w="11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9.04</w:t>
            </w:r>
          </w:p>
        </w:tc>
        <w:tc>
          <w:tcPr>
            <w:tcW w:w="122" w:type="dxa"/>
            <w:tcBorders/>
            <w:vAlign w:val="bottom"/>
          </w:tcPr>
          <w:p>
            <w:pPr>
              <w:pStyle w:val="TableContents"/>
              <w:bidi w:val="0"/>
              <w:spacing w:before="0" w:after="283"/>
              <w:jc w:val="left"/>
              <w:rPr/>
            </w:pPr>
            <w:r>
              <w:rPr/>
              <w:t>  </w:t>
            </w:r>
          </w:p>
        </w:tc>
        <w:tc>
          <w:tcPr>
            <w:tcW w:w="8414" w:type="dxa"/>
            <w:tcBorders/>
            <w:vAlign w:val="bottom"/>
          </w:tcPr>
          <w:p>
            <w:pPr>
              <w:pStyle w:val="TableContents"/>
              <w:bidi w:val="0"/>
              <w:spacing w:before="0" w:after="283"/>
              <w:jc w:val="left"/>
              <w:rPr/>
            </w:pPr>
            <w:r>
              <w:rPr/>
              <w:t>Revocation and Effect of Consents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45</w:t>
            </w:r>
          </w:p>
        </w:tc>
        <w:tc>
          <w:tcPr>
            <w:tcW w:w="62" w:type="dxa"/>
            <w:tcBorders/>
            <w:vAlign w:val="bottom"/>
          </w:tcPr>
          <w:p>
            <w:pPr>
              <w:pStyle w:val="TableContents"/>
              <w:bidi w:val="0"/>
              <w:spacing w:before="0" w:after="283"/>
              <w:jc w:val="left"/>
              <w:rPr/>
            </w:pPr>
            <w:r>
              <w:rPr/>
              <w:t> </w:t>
            </w:r>
          </w:p>
        </w:tc>
      </w:tr>
      <w:tr>
        <w:trPr/>
        <w:tc>
          <w:tcPr>
            <w:tcW w:w="11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9.05</w:t>
            </w:r>
          </w:p>
        </w:tc>
        <w:tc>
          <w:tcPr>
            <w:tcW w:w="122" w:type="dxa"/>
            <w:tcBorders/>
            <w:vAlign w:val="bottom"/>
          </w:tcPr>
          <w:p>
            <w:pPr>
              <w:pStyle w:val="TableContents"/>
              <w:bidi w:val="0"/>
              <w:spacing w:before="0" w:after="283"/>
              <w:jc w:val="left"/>
              <w:rPr/>
            </w:pPr>
            <w:r>
              <w:rPr/>
              <w:t>  </w:t>
            </w:r>
          </w:p>
        </w:tc>
        <w:tc>
          <w:tcPr>
            <w:tcW w:w="8414" w:type="dxa"/>
            <w:tcBorders/>
            <w:vAlign w:val="bottom"/>
          </w:tcPr>
          <w:p>
            <w:pPr>
              <w:pStyle w:val="TableContents"/>
              <w:bidi w:val="0"/>
              <w:spacing w:before="0" w:after="283"/>
              <w:jc w:val="left"/>
              <w:rPr/>
            </w:pPr>
            <w:r>
              <w:rPr/>
              <w:t>Notation on or Exchange of Notes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46</w:t>
            </w:r>
          </w:p>
        </w:tc>
        <w:tc>
          <w:tcPr>
            <w:tcW w:w="62" w:type="dxa"/>
            <w:tcBorders/>
            <w:vAlign w:val="bottom"/>
          </w:tcPr>
          <w:p>
            <w:pPr>
              <w:pStyle w:val="TableContents"/>
              <w:bidi w:val="0"/>
              <w:spacing w:before="0" w:after="283"/>
              <w:jc w:val="left"/>
              <w:rPr/>
            </w:pPr>
            <w:r>
              <w:rPr/>
              <w:t> </w:t>
            </w:r>
          </w:p>
        </w:tc>
      </w:tr>
      <w:tr>
        <w:trPr/>
        <w:tc>
          <w:tcPr>
            <w:tcW w:w="11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9.06</w:t>
            </w:r>
          </w:p>
        </w:tc>
        <w:tc>
          <w:tcPr>
            <w:tcW w:w="122" w:type="dxa"/>
            <w:tcBorders/>
            <w:vAlign w:val="bottom"/>
          </w:tcPr>
          <w:p>
            <w:pPr>
              <w:pStyle w:val="TableContents"/>
              <w:bidi w:val="0"/>
              <w:spacing w:before="0" w:after="283"/>
              <w:jc w:val="left"/>
              <w:rPr/>
            </w:pPr>
            <w:r>
              <w:rPr/>
              <w:t>  </w:t>
            </w:r>
          </w:p>
        </w:tc>
        <w:tc>
          <w:tcPr>
            <w:tcW w:w="8414" w:type="dxa"/>
            <w:tcBorders/>
            <w:vAlign w:val="bottom"/>
          </w:tcPr>
          <w:p>
            <w:pPr>
              <w:pStyle w:val="TableContents"/>
              <w:bidi w:val="0"/>
              <w:spacing w:before="0" w:after="283"/>
              <w:jc w:val="left"/>
              <w:rPr/>
            </w:pPr>
            <w:r>
              <w:rPr/>
              <w:t>Trustee to Sign Amendments, Etc</w:t>
            </w:r>
            <w:r>
              <w:rPr>
                <w:i/>
              </w:rPr>
              <w:t>.</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46</w:t>
            </w:r>
          </w:p>
        </w:tc>
        <w:tc>
          <w:tcPr>
            <w:tcW w:w="62" w:type="dxa"/>
            <w:tcBorders/>
            <w:vAlign w:val="bottom"/>
          </w:tcPr>
          <w:p>
            <w:pPr>
              <w:pStyle w:val="TableContents"/>
              <w:bidi w:val="0"/>
              <w:spacing w:before="0" w:after="283"/>
              <w:jc w:val="left"/>
              <w:rPr/>
            </w:pPr>
            <w:r>
              <w:rPr/>
              <w:t> </w:t>
            </w:r>
          </w:p>
        </w:tc>
      </w:tr>
      <w:tr>
        <w:trPr>
          <w:trHeight w:val="120" w:hRule="atLeast"/>
        </w:trPr>
        <w:tc>
          <w:tcPr>
            <w:tcW w:w="1165" w:type="dxa"/>
            <w:tcBorders/>
            <w:vAlign w:val="center"/>
          </w:tcPr>
          <w:p>
            <w:pPr>
              <w:pStyle w:val="TableContents"/>
              <w:bidi w:val="0"/>
              <w:spacing w:before="0" w:after="283"/>
              <w:jc w:val="left"/>
              <w:rPr>
                <w:sz w:val="4"/>
                <w:szCs w:val="4"/>
              </w:rPr>
            </w:pPr>
            <w:r>
              <w:rPr>
                <w:sz w:val="4"/>
                <w:szCs w:val="4"/>
              </w:rPr>
            </w:r>
          </w:p>
        </w:tc>
        <w:tc>
          <w:tcPr>
            <w:tcW w:w="8536" w:type="dxa"/>
            <w:gridSpan w:val="2"/>
            <w:tcBorders/>
            <w:vAlign w:val="center"/>
          </w:tcPr>
          <w:p>
            <w:pPr>
              <w:pStyle w:val="TableContents"/>
              <w:bidi w:val="0"/>
              <w:spacing w:before="0" w:after="283"/>
              <w:jc w:val="left"/>
              <w:rPr>
                <w:sz w:val="4"/>
                <w:szCs w:val="4"/>
              </w:rPr>
            </w:pPr>
            <w:r>
              <w:rPr>
                <w:sz w:val="4"/>
                <w:szCs w:val="4"/>
              </w:rPr>
            </w:r>
          </w:p>
        </w:tc>
        <w:tc>
          <w:tcPr>
            <w:tcW w:w="504" w:type="dxa"/>
            <w:gridSpan w:val="4"/>
            <w:tcBorders/>
            <w:vAlign w:val="center"/>
          </w:tcPr>
          <w:p>
            <w:pPr>
              <w:pStyle w:val="TableContents"/>
              <w:bidi w:val="0"/>
              <w:spacing w:before="0" w:after="283"/>
              <w:jc w:val="left"/>
              <w:rPr>
                <w:sz w:val="4"/>
                <w:szCs w:val="4"/>
              </w:rPr>
            </w:pPr>
            <w:r>
              <w:rPr>
                <w:sz w:val="4"/>
                <w:szCs w:val="4"/>
              </w:rPr>
            </w:r>
          </w:p>
        </w:tc>
      </w:tr>
      <w:tr>
        <w:trPr/>
        <w:tc>
          <w:tcPr>
            <w:tcW w:w="1165"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8414" w:type="dxa"/>
            <w:tcBorders/>
            <w:vAlign w:val="bottom"/>
          </w:tcPr>
          <w:p>
            <w:pPr>
              <w:pStyle w:val="TableContents"/>
              <w:bidi w:val="0"/>
              <w:spacing w:before="0" w:after="283"/>
              <w:jc w:val="center"/>
              <w:rPr/>
            </w:pPr>
            <w:r>
              <w:rPr/>
              <w:t>ARTICLE 10</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165" w:type="dxa"/>
            <w:tcBorders/>
            <w:vAlign w:val="center"/>
          </w:tcPr>
          <w:p>
            <w:pPr>
              <w:pStyle w:val="TableContents"/>
              <w:bidi w:val="0"/>
              <w:spacing w:before="0" w:after="283"/>
              <w:jc w:val="left"/>
              <w:rPr>
                <w:sz w:val="4"/>
                <w:szCs w:val="4"/>
              </w:rPr>
            </w:pPr>
            <w:r>
              <w:rPr>
                <w:sz w:val="4"/>
                <w:szCs w:val="4"/>
              </w:rPr>
            </w:r>
          </w:p>
        </w:tc>
        <w:tc>
          <w:tcPr>
            <w:tcW w:w="8536" w:type="dxa"/>
            <w:gridSpan w:val="2"/>
            <w:tcBorders/>
            <w:vAlign w:val="center"/>
          </w:tcPr>
          <w:p>
            <w:pPr>
              <w:pStyle w:val="TableContents"/>
              <w:bidi w:val="0"/>
              <w:spacing w:before="0" w:after="283"/>
              <w:jc w:val="left"/>
              <w:rPr>
                <w:sz w:val="4"/>
                <w:szCs w:val="4"/>
              </w:rPr>
            </w:pPr>
            <w:r>
              <w:rPr>
                <w:sz w:val="4"/>
                <w:szCs w:val="4"/>
              </w:rPr>
            </w:r>
          </w:p>
        </w:tc>
        <w:tc>
          <w:tcPr>
            <w:tcW w:w="504" w:type="dxa"/>
            <w:gridSpan w:val="4"/>
            <w:tcBorders/>
            <w:vAlign w:val="center"/>
          </w:tcPr>
          <w:p>
            <w:pPr>
              <w:pStyle w:val="TableContents"/>
              <w:bidi w:val="0"/>
              <w:spacing w:before="0" w:after="283"/>
              <w:jc w:val="left"/>
              <w:rPr>
                <w:sz w:val="4"/>
                <w:szCs w:val="4"/>
              </w:rPr>
            </w:pPr>
            <w:r>
              <w:rPr>
                <w:sz w:val="4"/>
                <w:szCs w:val="4"/>
              </w:rPr>
            </w:r>
          </w:p>
        </w:tc>
      </w:tr>
      <w:tr>
        <w:trPr/>
        <w:tc>
          <w:tcPr>
            <w:tcW w:w="1165"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8414" w:type="dxa"/>
            <w:tcBorders/>
            <w:vAlign w:val="bottom"/>
          </w:tcPr>
          <w:p>
            <w:pPr>
              <w:pStyle w:val="TableContents"/>
              <w:bidi w:val="0"/>
              <w:spacing w:before="0" w:after="283"/>
              <w:jc w:val="center"/>
              <w:rPr/>
            </w:pPr>
            <w:r>
              <w:rPr/>
              <w:t>[RESERVED]</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165" w:type="dxa"/>
            <w:tcBorders/>
            <w:vAlign w:val="center"/>
          </w:tcPr>
          <w:p>
            <w:pPr>
              <w:pStyle w:val="TableContents"/>
              <w:bidi w:val="0"/>
              <w:spacing w:before="0" w:after="283"/>
              <w:jc w:val="left"/>
              <w:rPr>
                <w:sz w:val="4"/>
                <w:szCs w:val="4"/>
              </w:rPr>
            </w:pPr>
            <w:r>
              <w:rPr>
                <w:sz w:val="4"/>
                <w:szCs w:val="4"/>
              </w:rPr>
            </w:r>
          </w:p>
        </w:tc>
        <w:tc>
          <w:tcPr>
            <w:tcW w:w="8536" w:type="dxa"/>
            <w:gridSpan w:val="2"/>
            <w:tcBorders/>
            <w:vAlign w:val="center"/>
          </w:tcPr>
          <w:p>
            <w:pPr>
              <w:pStyle w:val="TableContents"/>
              <w:bidi w:val="0"/>
              <w:spacing w:before="0" w:after="283"/>
              <w:jc w:val="left"/>
              <w:rPr>
                <w:sz w:val="4"/>
                <w:szCs w:val="4"/>
              </w:rPr>
            </w:pPr>
            <w:r>
              <w:rPr>
                <w:sz w:val="4"/>
                <w:szCs w:val="4"/>
              </w:rPr>
            </w:r>
          </w:p>
        </w:tc>
        <w:tc>
          <w:tcPr>
            <w:tcW w:w="504" w:type="dxa"/>
            <w:gridSpan w:val="4"/>
            <w:tcBorders/>
            <w:vAlign w:val="center"/>
          </w:tcPr>
          <w:p>
            <w:pPr>
              <w:pStyle w:val="TableContents"/>
              <w:bidi w:val="0"/>
              <w:spacing w:before="0" w:after="283"/>
              <w:jc w:val="left"/>
              <w:rPr>
                <w:sz w:val="4"/>
                <w:szCs w:val="4"/>
              </w:rPr>
            </w:pPr>
            <w:r>
              <w:rPr>
                <w:sz w:val="4"/>
                <w:szCs w:val="4"/>
              </w:rPr>
            </w:r>
          </w:p>
        </w:tc>
      </w:tr>
      <w:tr>
        <w:trPr/>
        <w:tc>
          <w:tcPr>
            <w:tcW w:w="1165"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8414" w:type="dxa"/>
            <w:tcBorders/>
            <w:vAlign w:val="bottom"/>
          </w:tcPr>
          <w:p>
            <w:pPr>
              <w:pStyle w:val="TableContents"/>
              <w:bidi w:val="0"/>
              <w:spacing w:before="0" w:after="283"/>
              <w:jc w:val="center"/>
              <w:rPr/>
            </w:pPr>
            <w:r>
              <w:rPr/>
              <w:t>ARTICLE 11</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165" w:type="dxa"/>
            <w:tcBorders/>
            <w:vAlign w:val="center"/>
          </w:tcPr>
          <w:p>
            <w:pPr>
              <w:pStyle w:val="TableContents"/>
              <w:bidi w:val="0"/>
              <w:spacing w:before="0" w:after="283"/>
              <w:jc w:val="left"/>
              <w:rPr>
                <w:sz w:val="4"/>
                <w:szCs w:val="4"/>
              </w:rPr>
            </w:pPr>
            <w:r>
              <w:rPr>
                <w:sz w:val="4"/>
                <w:szCs w:val="4"/>
              </w:rPr>
            </w:r>
          </w:p>
        </w:tc>
        <w:tc>
          <w:tcPr>
            <w:tcW w:w="8536" w:type="dxa"/>
            <w:gridSpan w:val="2"/>
            <w:tcBorders/>
            <w:vAlign w:val="center"/>
          </w:tcPr>
          <w:p>
            <w:pPr>
              <w:pStyle w:val="TableContents"/>
              <w:bidi w:val="0"/>
              <w:spacing w:before="0" w:after="283"/>
              <w:jc w:val="left"/>
              <w:rPr>
                <w:sz w:val="4"/>
                <w:szCs w:val="4"/>
              </w:rPr>
            </w:pPr>
            <w:r>
              <w:rPr>
                <w:sz w:val="4"/>
                <w:szCs w:val="4"/>
              </w:rPr>
            </w:r>
          </w:p>
        </w:tc>
        <w:tc>
          <w:tcPr>
            <w:tcW w:w="504" w:type="dxa"/>
            <w:gridSpan w:val="4"/>
            <w:tcBorders/>
            <w:vAlign w:val="center"/>
          </w:tcPr>
          <w:p>
            <w:pPr>
              <w:pStyle w:val="TableContents"/>
              <w:bidi w:val="0"/>
              <w:spacing w:before="0" w:after="283"/>
              <w:jc w:val="left"/>
              <w:rPr>
                <w:sz w:val="4"/>
                <w:szCs w:val="4"/>
              </w:rPr>
            </w:pPr>
            <w:r>
              <w:rPr>
                <w:sz w:val="4"/>
                <w:szCs w:val="4"/>
              </w:rPr>
            </w:r>
          </w:p>
        </w:tc>
      </w:tr>
      <w:tr>
        <w:trPr/>
        <w:tc>
          <w:tcPr>
            <w:tcW w:w="1165"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8414" w:type="dxa"/>
            <w:tcBorders/>
            <w:vAlign w:val="bottom"/>
          </w:tcPr>
          <w:p>
            <w:pPr>
              <w:pStyle w:val="TableContents"/>
              <w:bidi w:val="0"/>
              <w:spacing w:before="0" w:after="283"/>
              <w:jc w:val="center"/>
              <w:rPr/>
            </w:pPr>
            <w:r>
              <w:rPr/>
              <w:t>[RESERVED]</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165" w:type="dxa"/>
            <w:tcBorders/>
            <w:vAlign w:val="center"/>
          </w:tcPr>
          <w:p>
            <w:pPr>
              <w:pStyle w:val="TableContents"/>
              <w:bidi w:val="0"/>
              <w:spacing w:before="0" w:after="283"/>
              <w:jc w:val="left"/>
              <w:rPr>
                <w:sz w:val="4"/>
                <w:szCs w:val="4"/>
              </w:rPr>
            </w:pPr>
            <w:r>
              <w:rPr>
                <w:sz w:val="4"/>
                <w:szCs w:val="4"/>
              </w:rPr>
            </w:r>
          </w:p>
        </w:tc>
        <w:tc>
          <w:tcPr>
            <w:tcW w:w="8536" w:type="dxa"/>
            <w:gridSpan w:val="2"/>
            <w:tcBorders/>
            <w:vAlign w:val="center"/>
          </w:tcPr>
          <w:p>
            <w:pPr>
              <w:pStyle w:val="TableContents"/>
              <w:bidi w:val="0"/>
              <w:spacing w:before="0" w:after="283"/>
              <w:jc w:val="left"/>
              <w:rPr>
                <w:sz w:val="4"/>
                <w:szCs w:val="4"/>
              </w:rPr>
            </w:pPr>
            <w:r>
              <w:rPr>
                <w:sz w:val="4"/>
                <w:szCs w:val="4"/>
              </w:rPr>
            </w:r>
          </w:p>
        </w:tc>
        <w:tc>
          <w:tcPr>
            <w:tcW w:w="504" w:type="dxa"/>
            <w:gridSpan w:val="4"/>
            <w:tcBorders/>
            <w:vAlign w:val="center"/>
          </w:tcPr>
          <w:p>
            <w:pPr>
              <w:pStyle w:val="TableContents"/>
              <w:bidi w:val="0"/>
              <w:spacing w:before="0" w:after="283"/>
              <w:jc w:val="left"/>
              <w:rPr>
                <w:sz w:val="4"/>
                <w:szCs w:val="4"/>
              </w:rPr>
            </w:pPr>
            <w:r>
              <w:rPr>
                <w:sz w:val="4"/>
                <w:szCs w:val="4"/>
              </w:rPr>
            </w:r>
          </w:p>
        </w:tc>
      </w:tr>
      <w:tr>
        <w:trPr/>
        <w:tc>
          <w:tcPr>
            <w:tcW w:w="1165"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8414" w:type="dxa"/>
            <w:tcBorders/>
            <w:vAlign w:val="bottom"/>
          </w:tcPr>
          <w:p>
            <w:pPr>
              <w:pStyle w:val="TableContents"/>
              <w:bidi w:val="0"/>
              <w:spacing w:before="0" w:after="283"/>
              <w:jc w:val="center"/>
              <w:rPr/>
            </w:pPr>
            <w:r>
              <w:rPr/>
              <w:t>ARTICLE 12</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165" w:type="dxa"/>
            <w:tcBorders/>
            <w:vAlign w:val="center"/>
          </w:tcPr>
          <w:p>
            <w:pPr>
              <w:pStyle w:val="TableContents"/>
              <w:bidi w:val="0"/>
              <w:spacing w:before="0" w:after="283"/>
              <w:jc w:val="left"/>
              <w:rPr>
                <w:sz w:val="4"/>
                <w:szCs w:val="4"/>
              </w:rPr>
            </w:pPr>
            <w:r>
              <w:rPr>
                <w:sz w:val="4"/>
                <w:szCs w:val="4"/>
              </w:rPr>
            </w:r>
          </w:p>
        </w:tc>
        <w:tc>
          <w:tcPr>
            <w:tcW w:w="8536" w:type="dxa"/>
            <w:gridSpan w:val="2"/>
            <w:tcBorders/>
            <w:vAlign w:val="center"/>
          </w:tcPr>
          <w:p>
            <w:pPr>
              <w:pStyle w:val="TableContents"/>
              <w:bidi w:val="0"/>
              <w:spacing w:before="0" w:after="283"/>
              <w:jc w:val="left"/>
              <w:rPr>
                <w:sz w:val="4"/>
                <w:szCs w:val="4"/>
              </w:rPr>
            </w:pPr>
            <w:r>
              <w:rPr>
                <w:sz w:val="4"/>
                <w:szCs w:val="4"/>
              </w:rPr>
            </w:r>
          </w:p>
        </w:tc>
        <w:tc>
          <w:tcPr>
            <w:tcW w:w="504" w:type="dxa"/>
            <w:gridSpan w:val="4"/>
            <w:tcBorders/>
            <w:vAlign w:val="center"/>
          </w:tcPr>
          <w:p>
            <w:pPr>
              <w:pStyle w:val="TableContents"/>
              <w:bidi w:val="0"/>
              <w:spacing w:before="0" w:after="283"/>
              <w:jc w:val="left"/>
              <w:rPr>
                <w:sz w:val="4"/>
                <w:szCs w:val="4"/>
              </w:rPr>
            </w:pPr>
            <w:r>
              <w:rPr>
                <w:sz w:val="4"/>
                <w:szCs w:val="4"/>
              </w:rPr>
            </w:r>
          </w:p>
        </w:tc>
      </w:tr>
      <w:tr>
        <w:trPr/>
        <w:tc>
          <w:tcPr>
            <w:tcW w:w="1165"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8414" w:type="dxa"/>
            <w:tcBorders/>
            <w:vAlign w:val="bottom"/>
          </w:tcPr>
          <w:p>
            <w:pPr>
              <w:pStyle w:val="TableContents"/>
              <w:bidi w:val="0"/>
              <w:spacing w:before="0" w:after="283"/>
              <w:jc w:val="center"/>
              <w:rPr/>
            </w:pPr>
            <w:r>
              <w:rPr/>
              <w:t>SATISFACTION AND DISCHARGE</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165" w:type="dxa"/>
            <w:tcBorders/>
            <w:vAlign w:val="center"/>
          </w:tcPr>
          <w:p>
            <w:pPr>
              <w:pStyle w:val="TableContents"/>
              <w:bidi w:val="0"/>
              <w:spacing w:before="0" w:after="283"/>
              <w:jc w:val="left"/>
              <w:rPr>
                <w:sz w:val="4"/>
                <w:szCs w:val="4"/>
              </w:rPr>
            </w:pPr>
            <w:r>
              <w:rPr>
                <w:sz w:val="4"/>
                <w:szCs w:val="4"/>
              </w:rPr>
            </w:r>
          </w:p>
        </w:tc>
        <w:tc>
          <w:tcPr>
            <w:tcW w:w="8536" w:type="dxa"/>
            <w:gridSpan w:val="2"/>
            <w:tcBorders/>
            <w:vAlign w:val="center"/>
          </w:tcPr>
          <w:p>
            <w:pPr>
              <w:pStyle w:val="TableContents"/>
              <w:bidi w:val="0"/>
              <w:spacing w:before="0" w:after="283"/>
              <w:jc w:val="left"/>
              <w:rPr>
                <w:sz w:val="4"/>
                <w:szCs w:val="4"/>
              </w:rPr>
            </w:pPr>
            <w:r>
              <w:rPr>
                <w:sz w:val="4"/>
                <w:szCs w:val="4"/>
              </w:rPr>
            </w:r>
          </w:p>
        </w:tc>
        <w:tc>
          <w:tcPr>
            <w:tcW w:w="504" w:type="dxa"/>
            <w:gridSpan w:val="4"/>
            <w:tcBorders/>
            <w:vAlign w:val="center"/>
          </w:tcPr>
          <w:p>
            <w:pPr>
              <w:pStyle w:val="TableContents"/>
              <w:bidi w:val="0"/>
              <w:spacing w:before="0" w:after="283"/>
              <w:jc w:val="left"/>
              <w:rPr>
                <w:sz w:val="4"/>
                <w:szCs w:val="4"/>
              </w:rPr>
            </w:pPr>
            <w:r>
              <w:rPr>
                <w:sz w:val="4"/>
                <w:szCs w:val="4"/>
              </w:rPr>
            </w:r>
          </w:p>
        </w:tc>
      </w:tr>
      <w:tr>
        <w:trPr/>
        <w:tc>
          <w:tcPr>
            <w:tcW w:w="11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12.01</w:t>
            </w:r>
          </w:p>
        </w:tc>
        <w:tc>
          <w:tcPr>
            <w:tcW w:w="122" w:type="dxa"/>
            <w:tcBorders/>
            <w:vAlign w:val="bottom"/>
          </w:tcPr>
          <w:p>
            <w:pPr>
              <w:pStyle w:val="TableContents"/>
              <w:bidi w:val="0"/>
              <w:spacing w:before="0" w:after="283"/>
              <w:jc w:val="left"/>
              <w:rPr/>
            </w:pPr>
            <w:r>
              <w:rPr/>
              <w:t>  </w:t>
            </w:r>
          </w:p>
        </w:tc>
        <w:tc>
          <w:tcPr>
            <w:tcW w:w="8414" w:type="dxa"/>
            <w:tcBorders/>
            <w:vAlign w:val="bottom"/>
          </w:tcPr>
          <w:p>
            <w:pPr>
              <w:pStyle w:val="TableContents"/>
              <w:bidi w:val="0"/>
              <w:spacing w:before="0" w:after="283"/>
              <w:jc w:val="left"/>
              <w:rPr/>
            </w:pPr>
            <w:r>
              <w:rPr/>
              <w:t>Satisfaction and Discharge</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46</w:t>
            </w:r>
          </w:p>
        </w:tc>
        <w:tc>
          <w:tcPr>
            <w:tcW w:w="62" w:type="dxa"/>
            <w:tcBorders/>
            <w:vAlign w:val="bottom"/>
          </w:tcPr>
          <w:p>
            <w:pPr>
              <w:pStyle w:val="TableContents"/>
              <w:bidi w:val="0"/>
              <w:spacing w:before="0" w:after="283"/>
              <w:jc w:val="left"/>
              <w:rPr/>
            </w:pPr>
            <w:r>
              <w:rPr/>
              <w:t> </w:t>
            </w:r>
          </w:p>
        </w:tc>
      </w:tr>
      <w:tr>
        <w:trPr/>
        <w:tc>
          <w:tcPr>
            <w:tcW w:w="11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12.02</w:t>
            </w:r>
          </w:p>
        </w:tc>
        <w:tc>
          <w:tcPr>
            <w:tcW w:w="122" w:type="dxa"/>
            <w:tcBorders/>
            <w:vAlign w:val="bottom"/>
          </w:tcPr>
          <w:p>
            <w:pPr>
              <w:pStyle w:val="TableContents"/>
              <w:bidi w:val="0"/>
              <w:spacing w:before="0" w:after="283"/>
              <w:jc w:val="left"/>
              <w:rPr/>
            </w:pPr>
            <w:r>
              <w:rPr/>
              <w:t>  </w:t>
            </w:r>
          </w:p>
        </w:tc>
        <w:tc>
          <w:tcPr>
            <w:tcW w:w="8414" w:type="dxa"/>
            <w:tcBorders/>
            <w:vAlign w:val="bottom"/>
          </w:tcPr>
          <w:p>
            <w:pPr>
              <w:pStyle w:val="TableContents"/>
              <w:bidi w:val="0"/>
              <w:spacing w:before="0" w:after="283"/>
              <w:jc w:val="left"/>
              <w:rPr/>
            </w:pPr>
            <w:r>
              <w:rPr/>
              <w:t>Application of Trust Money</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47</w:t>
            </w:r>
          </w:p>
        </w:tc>
        <w:tc>
          <w:tcPr>
            <w:tcW w:w="62" w:type="dxa"/>
            <w:tcBorders/>
            <w:vAlign w:val="bottom"/>
          </w:tcPr>
          <w:p>
            <w:pPr>
              <w:pStyle w:val="TableContents"/>
              <w:bidi w:val="0"/>
              <w:spacing w:before="0" w:after="283"/>
              <w:jc w:val="left"/>
              <w:rPr/>
            </w:pPr>
            <w:r>
              <w:rPr/>
              <w:t> </w:t>
            </w:r>
          </w:p>
        </w:tc>
      </w:tr>
      <w:tr>
        <w:trPr>
          <w:trHeight w:val="120" w:hRule="atLeast"/>
        </w:trPr>
        <w:tc>
          <w:tcPr>
            <w:tcW w:w="1165" w:type="dxa"/>
            <w:tcBorders/>
            <w:vAlign w:val="center"/>
          </w:tcPr>
          <w:p>
            <w:pPr>
              <w:pStyle w:val="TableContents"/>
              <w:bidi w:val="0"/>
              <w:spacing w:before="0" w:after="283"/>
              <w:jc w:val="left"/>
              <w:rPr>
                <w:sz w:val="4"/>
                <w:szCs w:val="4"/>
              </w:rPr>
            </w:pPr>
            <w:r>
              <w:rPr>
                <w:sz w:val="4"/>
                <w:szCs w:val="4"/>
              </w:rPr>
            </w:r>
          </w:p>
        </w:tc>
        <w:tc>
          <w:tcPr>
            <w:tcW w:w="8536" w:type="dxa"/>
            <w:gridSpan w:val="2"/>
            <w:tcBorders/>
            <w:vAlign w:val="center"/>
          </w:tcPr>
          <w:p>
            <w:pPr>
              <w:pStyle w:val="TableContents"/>
              <w:bidi w:val="0"/>
              <w:spacing w:before="0" w:after="283"/>
              <w:jc w:val="left"/>
              <w:rPr>
                <w:sz w:val="4"/>
                <w:szCs w:val="4"/>
              </w:rPr>
            </w:pPr>
            <w:r>
              <w:rPr>
                <w:sz w:val="4"/>
                <w:szCs w:val="4"/>
              </w:rPr>
            </w:r>
          </w:p>
        </w:tc>
        <w:tc>
          <w:tcPr>
            <w:tcW w:w="504" w:type="dxa"/>
            <w:gridSpan w:val="4"/>
            <w:tcBorders/>
            <w:vAlign w:val="center"/>
          </w:tcPr>
          <w:p>
            <w:pPr>
              <w:pStyle w:val="TableContents"/>
              <w:bidi w:val="0"/>
              <w:spacing w:before="0" w:after="283"/>
              <w:jc w:val="left"/>
              <w:rPr>
                <w:sz w:val="4"/>
                <w:szCs w:val="4"/>
              </w:rPr>
            </w:pPr>
            <w:r>
              <w:rPr>
                <w:sz w:val="4"/>
                <w:szCs w:val="4"/>
              </w:rPr>
            </w:r>
          </w:p>
        </w:tc>
      </w:tr>
      <w:tr>
        <w:trPr/>
        <w:tc>
          <w:tcPr>
            <w:tcW w:w="1165"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8414" w:type="dxa"/>
            <w:tcBorders/>
            <w:vAlign w:val="bottom"/>
          </w:tcPr>
          <w:p>
            <w:pPr>
              <w:pStyle w:val="TableContents"/>
              <w:bidi w:val="0"/>
              <w:spacing w:before="0" w:after="283"/>
              <w:jc w:val="center"/>
              <w:rPr/>
            </w:pPr>
            <w:r>
              <w:rPr/>
              <w:t>ARTICLE 13</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165" w:type="dxa"/>
            <w:tcBorders/>
            <w:vAlign w:val="center"/>
          </w:tcPr>
          <w:p>
            <w:pPr>
              <w:pStyle w:val="TableContents"/>
              <w:bidi w:val="0"/>
              <w:spacing w:before="0" w:after="283"/>
              <w:jc w:val="left"/>
              <w:rPr>
                <w:sz w:val="4"/>
                <w:szCs w:val="4"/>
              </w:rPr>
            </w:pPr>
            <w:r>
              <w:rPr>
                <w:sz w:val="4"/>
                <w:szCs w:val="4"/>
              </w:rPr>
            </w:r>
          </w:p>
        </w:tc>
        <w:tc>
          <w:tcPr>
            <w:tcW w:w="8536" w:type="dxa"/>
            <w:gridSpan w:val="2"/>
            <w:tcBorders/>
            <w:vAlign w:val="center"/>
          </w:tcPr>
          <w:p>
            <w:pPr>
              <w:pStyle w:val="TableContents"/>
              <w:bidi w:val="0"/>
              <w:spacing w:before="0" w:after="283"/>
              <w:jc w:val="left"/>
              <w:rPr>
                <w:sz w:val="4"/>
                <w:szCs w:val="4"/>
              </w:rPr>
            </w:pPr>
            <w:r>
              <w:rPr>
                <w:sz w:val="4"/>
                <w:szCs w:val="4"/>
              </w:rPr>
            </w:r>
          </w:p>
        </w:tc>
        <w:tc>
          <w:tcPr>
            <w:tcW w:w="504" w:type="dxa"/>
            <w:gridSpan w:val="4"/>
            <w:tcBorders/>
            <w:vAlign w:val="center"/>
          </w:tcPr>
          <w:p>
            <w:pPr>
              <w:pStyle w:val="TableContents"/>
              <w:bidi w:val="0"/>
              <w:spacing w:before="0" w:after="283"/>
              <w:jc w:val="left"/>
              <w:rPr>
                <w:sz w:val="4"/>
                <w:szCs w:val="4"/>
              </w:rPr>
            </w:pPr>
            <w:r>
              <w:rPr>
                <w:sz w:val="4"/>
                <w:szCs w:val="4"/>
              </w:rPr>
            </w:r>
          </w:p>
        </w:tc>
      </w:tr>
      <w:tr>
        <w:trPr/>
        <w:tc>
          <w:tcPr>
            <w:tcW w:w="1165"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8414" w:type="dxa"/>
            <w:tcBorders/>
            <w:vAlign w:val="bottom"/>
          </w:tcPr>
          <w:p>
            <w:pPr>
              <w:pStyle w:val="TableContents"/>
              <w:bidi w:val="0"/>
              <w:spacing w:before="0" w:after="283"/>
              <w:jc w:val="center"/>
              <w:rPr/>
            </w:pPr>
            <w:r>
              <w:rPr/>
              <w:t>MISCELLANEOUS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165" w:type="dxa"/>
            <w:tcBorders/>
            <w:vAlign w:val="center"/>
          </w:tcPr>
          <w:p>
            <w:pPr>
              <w:pStyle w:val="TableContents"/>
              <w:bidi w:val="0"/>
              <w:spacing w:before="0" w:after="283"/>
              <w:jc w:val="left"/>
              <w:rPr>
                <w:sz w:val="4"/>
                <w:szCs w:val="4"/>
              </w:rPr>
            </w:pPr>
            <w:r>
              <w:rPr>
                <w:sz w:val="4"/>
                <w:szCs w:val="4"/>
              </w:rPr>
            </w:r>
          </w:p>
        </w:tc>
        <w:tc>
          <w:tcPr>
            <w:tcW w:w="8536" w:type="dxa"/>
            <w:gridSpan w:val="2"/>
            <w:tcBorders/>
            <w:vAlign w:val="center"/>
          </w:tcPr>
          <w:p>
            <w:pPr>
              <w:pStyle w:val="TableContents"/>
              <w:bidi w:val="0"/>
              <w:spacing w:before="0" w:after="283"/>
              <w:jc w:val="left"/>
              <w:rPr>
                <w:sz w:val="4"/>
                <w:szCs w:val="4"/>
              </w:rPr>
            </w:pPr>
            <w:r>
              <w:rPr>
                <w:sz w:val="4"/>
                <w:szCs w:val="4"/>
              </w:rPr>
            </w:r>
          </w:p>
        </w:tc>
        <w:tc>
          <w:tcPr>
            <w:tcW w:w="504" w:type="dxa"/>
            <w:gridSpan w:val="4"/>
            <w:tcBorders/>
            <w:vAlign w:val="center"/>
          </w:tcPr>
          <w:p>
            <w:pPr>
              <w:pStyle w:val="TableContents"/>
              <w:bidi w:val="0"/>
              <w:spacing w:before="0" w:after="283"/>
              <w:jc w:val="left"/>
              <w:rPr>
                <w:sz w:val="4"/>
                <w:szCs w:val="4"/>
              </w:rPr>
            </w:pPr>
            <w:r>
              <w:rPr>
                <w:sz w:val="4"/>
                <w:szCs w:val="4"/>
              </w:rPr>
            </w:r>
          </w:p>
        </w:tc>
      </w:tr>
      <w:tr>
        <w:trPr/>
        <w:tc>
          <w:tcPr>
            <w:tcW w:w="11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13.01</w:t>
            </w:r>
          </w:p>
        </w:tc>
        <w:tc>
          <w:tcPr>
            <w:tcW w:w="122" w:type="dxa"/>
            <w:tcBorders/>
            <w:vAlign w:val="bottom"/>
          </w:tcPr>
          <w:p>
            <w:pPr>
              <w:pStyle w:val="TableContents"/>
              <w:bidi w:val="0"/>
              <w:spacing w:before="0" w:after="283"/>
              <w:jc w:val="left"/>
              <w:rPr/>
            </w:pPr>
            <w:r>
              <w:rPr/>
              <w:t>  </w:t>
            </w:r>
          </w:p>
        </w:tc>
        <w:tc>
          <w:tcPr>
            <w:tcW w:w="8414" w:type="dxa"/>
            <w:tcBorders/>
            <w:vAlign w:val="bottom"/>
          </w:tcPr>
          <w:p>
            <w:pPr>
              <w:pStyle w:val="TableContents"/>
              <w:bidi w:val="0"/>
              <w:spacing w:before="0" w:after="283"/>
              <w:jc w:val="left"/>
              <w:rPr/>
            </w:pPr>
            <w:r>
              <w:rPr/>
              <w:t>Trust Indenture Act Controls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48</w:t>
            </w:r>
          </w:p>
        </w:tc>
        <w:tc>
          <w:tcPr>
            <w:tcW w:w="62" w:type="dxa"/>
            <w:tcBorders/>
            <w:vAlign w:val="bottom"/>
          </w:tcPr>
          <w:p>
            <w:pPr>
              <w:pStyle w:val="TableContents"/>
              <w:bidi w:val="0"/>
              <w:spacing w:before="0" w:after="283"/>
              <w:jc w:val="left"/>
              <w:rPr/>
            </w:pPr>
            <w:r>
              <w:rPr/>
              <w:t> </w:t>
            </w:r>
          </w:p>
        </w:tc>
      </w:tr>
      <w:tr>
        <w:trPr/>
        <w:tc>
          <w:tcPr>
            <w:tcW w:w="11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13.02</w:t>
            </w:r>
          </w:p>
        </w:tc>
        <w:tc>
          <w:tcPr>
            <w:tcW w:w="122" w:type="dxa"/>
            <w:tcBorders/>
            <w:vAlign w:val="bottom"/>
          </w:tcPr>
          <w:p>
            <w:pPr>
              <w:pStyle w:val="TableContents"/>
              <w:bidi w:val="0"/>
              <w:spacing w:before="0" w:after="283"/>
              <w:jc w:val="left"/>
              <w:rPr/>
            </w:pPr>
            <w:r>
              <w:rPr/>
              <w:t>  </w:t>
            </w:r>
          </w:p>
        </w:tc>
        <w:tc>
          <w:tcPr>
            <w:tcW w:w="8414" w:type="dxa"/>
            <w:tcBorders/>
            <w:vAlign w:val="bottom"/>
          </w:tcPr>
          <w:p>
            <w:pPr>
              <w:pStyle w:val="TableContents"/>
              <w:bidi w:val="0"/>
              <w:spacing w:before="0" w:after="283"/>
              <w:jc w:val="left"/>
              <w:rPr/>
            </w:pPr>
            <w:r>
              <w:rPr/>
              <w:t>Notices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48</w:t>
            </w:r>
          </w:p>
        </w:tc>
        <w:tc>
          <w:tcPr>
            <w:tcW w:w="62" w:type="dxa"/>
            <w:tcBorders/>
            <w:vAlign w:val="bottom"/>
          </w:tcPr>
          <w:p>
            <w:pPr>
              <w:pStyle w:val="TableContents"/>
              <w:bidi w:val="0"/>
              <w:spacing w:before="0" w:after="283"/>
              <w:jc w:val="left"/>
              <w:rPr/>
            </w:pPr>
            <w:r>
              <w:rPr/>
              <w:t> </w:t>
            </w:r>
          </w:p>
        </w:tc>
      </w:tr>
      <w:tr>
        <w:trPr/>
        <w:tc>
          <w:tcPr>
            <w:tcW w:w="11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13.03</w:t>
            </w:r>
          </w:p>
        </w:tc>
        <w:tc>
          <w:tcPr>
            <w:tcW w:w="122" w:type="dxa"/>
            <w:tcBorders/>
            <w:vAlign w:val="bottom"/>
          </w:tcPr>
          <w:p>
            <w:pPr>
              <w:pStyle w:val="TableContents"/>
              <w:bidi w:val="0"/>
              <w:spacing w:before="0" w:after="283"/>
              <w:jc w:val="left"/>
              <w:rPr/>
            </w:pPr>
            <w:r>
              <w:rPr/>
              <w:t>  </w:t>
            </w:r>
          </w:p>
        </w:tc>
        <w:tc>
          <w:tcPr>
            <w:tcW w:w="8414" w:type="dxa"/>
            <w:tcBorders/>
            <w:vAlign w:val="bottom"/>
          </w:tcPr>
          <w:p>
            <w:pPr>
              <w:pStyle w:val="TableContents"/>
              <w:bidi w:val="0"/>
              <w:spacing w:before="0" w:after="283"/>
              <w:jc w:val="left"/>
              <w:rPr/>
            </w:pPr>
            <w:r>
              <w:rPr/>
              <w:t>Communication by Holders of Notes with Other Holders of Notes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49</w:t>
            </w:r>
          </w:p>
        </w:tc>
        <w:tc>
          <w:tcPr>
            <w:tcW w:w="62" w:type="dxa"/>
            <w:tcBorders/>
            <w:vAlign w:val="bottom"/>
          </w:tcPr>
          <w:p>
            <w:pPr>
              <w:pStyle w:val="TableContents"/>
              <w:bidi w:val="0"/>
              <w:spacing w:before="0" w:after="283"/>
              <w:jc w:val="left"/>
              <w:rPr/>
            </w:pPr>
            <w:r>
              <w:rPr/>
              <w:t> </w:t>
            </w:r>
          </w:p>
        </w:tc>
      </w:tr>
      <w:tr>
        <w:trPr/>
        <w:tc>
          <w:tcPr>
            <w:tcW w:w="11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13.04</w:t>
            </w:r>
          </w:p>
        </w:tc>
        <w:tc>
          <w:tcPr>
            <w:tcW w:w="122" w:type="dxa"/>
            <w:tcBorders/>
            <w:vAlign w:val="bottom"/>
          </w:tcPr>
          <w:p>
            <w:pPr>
              <w:pStyle w:val="TableContents"/>
              <w:bidi w:val="0"/>
              <w:spacing w:before="0" w:after="283"/>
              <w:jc w:val="left"/>
              <w:rPr/>
            </w:pPr>
            <w:r>
              <w:rPr/>
              <w:t>  </w:t>
            </w:r>
          </w:p>
        </w:tc>
        <w:tc>
          <w:tcPr>
            <w:tcW w:w="8414" w:type="dxa"/>
            <w:tcBorders/>
            <w:vAlign w:val="bottom"/>
          </w:tcPr>
          <w:p>
            <w:pPr>
              <w:pStyle w:val="TableContents"/>
              <w:bidi w:val="0"/>
              <w:spacing w:before="0" w:after="283"/>
              <w:jc w:val="left"/>
              <w:rPr/>
            </w:pPr>
            <w:r>
              <w:rPr/>
              <w:t>Certificate and Opinion as to Conditions Precedent</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49</w:t>
            </w:r>
          </w:p>
        </w:tc>
        <w:tc>
          <w:tcPr>
            <w:tcW w:w="62" w:type="dxa"/>
            <w:tcBorders/>
            <w:vAlign w:val="bottom"/>
          </w:tcPr>
          <w:p>
            <w:pPr>
              <w:pStyle w:val="TableContents"/>
              <w:bidi w:val="0"/>
              <w:spacing w:before="0" w:after="283"/>
              <w:jc w:val="left"/>
              <w:rPr/>
            </w:pPr>
            <w:r>
              <w:rPr/>
              <w:t> </w:t>
            </w:r>
          </w:p>
        </w:tc>
      </w:tr>
      <w:tr>
        <w:trPr/>
        <w:tc>
          <w:tcPr>
            <w:tcW w:w="11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13.05</w:t>
            </w:r>
          </w:p>
        </w:tc>
        <w:tc>
          <w:tcPr>
            <w:tcW w:w="122" w:type="dxa"/>
            <w:tcBorders/>
            <w:vAlign w:val="bottom"/>
          </w:tcPr>
          <w:p>
            <w:pPr>
              <w:pStyle w:val="TableContents"/>
              <w:bidi w:val="0"/>
              <w:spacing w:before="0" w:after="283"/>
              <w:jc w:val="left"/>
              <w:rPr/>
            </w:pPr>
            <w:r>
              <w:rPr/>
              <w:t>  </w:t>
            </w:r>
          </w:p>
        </w:tc>
        <w:tc>
          <w:tcPr>
            <w:tcW w:w="8414" w:type="dxa"/>
            <w:tcBorders/>
            <w:vAlign w:val="bottom"/>
          </w:tcPr>
          <w:p>
            <w:pPr>
              <w:pStyle w:val="TableContents"/>
              <w:bidi w:val="0"/>
              <w:spacing w:before="0" w:after="283"/>
              <w:jc w:val="left"/>
              <w:rPr/>
            </w:pPr>
            <w:r>
              <w:rPr/>
              <w:t>Statements Required in Certificate or Opinion</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50</w:t>
            </w:r>
          </w:p>
        </w:tc>
        <w:tc>
          <w:tcPr>
            <w:tcW w:w="62" w:type="dxa"/>
            <w:tcBorders/>
            <w:vAlign w:val="bottom"/>
          </w:tcPr>
          <w:p>
            <w:pPr>
              <w:pStyle w:val="TableContents"/>
              <w:bidi w:val="0"/>
              <w:spacing w:before="0" w:after="283"/>
              <w:jc w:val="left"/>
              <w:rPr/>
            </w:pPr>
            <w:r>
              <w:rPr/>
              <w:t> </w:t>
            </w:r>
          </w:p>
        </w:tc>
      </w:tr>
      <w:tr>
        <w:trPr/>
        <w:tc>
          <w:tcPr>
            <w:tcW w:w="11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13.06</w:t>
            </w:r>
          </w:p>
        </w:tc>
        <w:tc>
          <w:tcPr>
            <w:tcW w:w="122" w:type="dxa"/>
            <w:tcBorders/>
            <w:vAlign w:val="bottom"/>
          </w:tcPr>
          <w:p>
            <w:pPr>
              <w:pStyle w:val="TableContents"/>
              <w:bidi w:val="0"/>
              <w:spacing w:before="0" w:after="283"/>
              <w:jc w:val="left"/>
              <w:rPr/>
            </w:pPr>
            <w:r>
              <w:rPr/>
              <w:t>  </w:t>
            </w:r>
          </w:p>
        </w:tc>
        <w:tc>
          <w:tcPr>
            <w:tcW w:w="8414" w:type="dxa"/>
            <w:tcBorders/>
            <w:vAlign w:val="bottom"/>
          </w:tcPr>
          <w:p>
            <w:pPr>
              <w:pStyle w:val="TableContents"/>
              <w:bidi w:val="0"/>
              <w:spacing w:before="0" w:after="283"/>
              <w:jc w:val="left"/>
              <w:rPr/>
            </w:pPr>
            <w:r>
              <w:rPr/>
              <w:t>Rules by Trustee and Agents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50</w:t>
            </w:r>
          </w:p>
        </w:tc>
        <w:tc>
          <w:tcPr>
            <w:tcW w:w="62" w:type="dxa"/>
            <w:tcBorders/>
            <w:vAlign w:val="bottom"/>
          </w:tcPr>
          <w:p>
            <w:pPr>
              <w:pStyle w:val="TableContents"/>
              <w:bidi w:val="0"/>
              <w:spacing w:before="0" w:after="283"/>
              <w:jc w:val="left"/>
              <w:rPr/>
            </w:pPr>
            <w:r>
              <w:rPr/>
              <w:t> </w:t>
            </w:r>
          </w:p>
        </w:tc>
      </w:tr>
      <w:tr>
        <w:trPr/>
        <w:tc>
          <w:tcPr>
            <w:tcW w:w="11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13.07</w:t>
            </w:r>
          </w:p>
        </w:tc>
        <w:tc>
          <w:tcPr>
            <w:tcW w:w="122" w:type="dxa"/>
            <w:tcBorders/>
            <w:vAlign w:val="bottom"/>
          </w:tcPr>
          <w:p>
            <w:pPr>
              <w:pStyle w:val="TableContents"/>
              <w:bidi w:val="0"/>
              <w:spacing w:before="0" w:after="283"/>
              <w:jc w:val="left"/>
              <w:rPr/>
            </w:pPr>
            <w:r>
              <w:rPr/>
              <w:t>  </w:t>
            </w:r>
          </w:p>
        </w:tc>
        <w:tc>
          <w:tcPr>
            <w:tcW w:w="8414" w:type="dxa"/>
            <w:tcBorders/>
            <w:vAlign w:val="bottom"/>
          </w:tcPr>
          <w:p>
            <w:pPr>
              <w:pStyle w:val="TableContents"/>
              <w:bidi w:val="0"/>
              <w:spacing w:before="0" w:after="283"/>
              <w:jc w:val="left"/>
              <w:rPr/>
            </w:pPr>
            <w:r>
              <w:rPr/>
              <w:t>No Personal Liability of Incorporators, Stockholders, Officers, Directors or Employees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50</w:t>
            </w:r>
          </w:p>
        </w:tc>
        <w:tc>
          <w:tcPr>
            <w:tcW w:w="62" w:type="dxa"/>
            <w:tcBorders/>
            <w:vAlign w:val="bottom"/>
          </w:tcPr>
          <w:p>
            <w:pPr>
              <w:pStyle w:val="TableContents"/>
              <w:bidi w:val="0"/>
              <w:spacing w:before="0" w:after="283"/>
              <w:jc w:val="left"/>
              <w:rPr/>
            </w:pPr>
            <w:r>
              <w:rPr/>
              <w:t> </w:t>
            </w:r>
          </w:p>
        </w:tc>
      </w:tr>
      <w:tr>
        <w:trPr/>
        <w:tc>
          <w:tcPr>
            <w:tcW w:w="11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13.08</w:t>
            </w:r>
          </w:p>
        </w:tc>
        <w:tc>
          <w:tcPr>
            <w:tcW w:w="122" w:type="dxa"/>
            <w:tcBorders/>
            <w:vAlign w:val="bottom"/>
          </w:tcPr>
          <w:p>
            <w:pPr>
              <w:pStyle w:val="TableContents"/>
              <w:bidi w:val="0"/>
              <w:spacing w:before="0" w:after="283"/>
              <w:jc w:val="left"/>
              <w:rPr/>
            </w:pPr>
            <w:r>
              <w:rPr/>
              <w:t>  </w:t>
            </w:r>
          </w:p>
        </w:tc>
        <w:tc>
          <w:tcPr>
            <w:tcW w:w="8414" w:type="dxa"/>
            <w:tcBorders/>
            <w:vAlign w:val="bottom"/>
          </w:tcPr>
          <w:p>
            <w:pPr>
              <w:pStyle w:val="TableContents"/>
              <w:bidi w:val="0"/>
              <w:spacing w:before="0" w:after="283"/>
              <w:jc w:val="left"/>
              <w:rPr/>
            </w:pPr>
            <w:r>
              <w:rPr/>
              <w:t>Governing Law</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51</w:t>
            </w:r>
          </w:p>
        </w:tc>
        <w:tc>
          <w:tcPr>
            <w:tcW w:w="62" w:type="dxa"/>
            <w:tcBorders/>
            <w:vAlign w:val="bottom"/>
          </w:tcPr>
          <w:p>
            <w:pPr>
              <w:pStyle w:val="TableContents"/>
              <w:bidi w:val="0"/>
              <w:spacing w:before="0" w:after="283"/>
              <w:jc w:val="left"/>
              <w:rPr/>
            </w:pPr>
            <w:r>
              <w:rPr/>
              <w:t> </w:t>
            </w:r>
          </w:p>
        </w:tc>
      </w:tr>
      <w:tr>
        <w:trPr/>
        <w:tc>
          <w:tcPr>
            <w:tcW w:w="11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13.09</w:t>
            </w:r>
          </w:p>
        </w:tc>
        <w:tc>
          <w:tcPr>
            <w:tcW w:w="122" w:type="dxa"/>
            <w:tcBorders/>
            <w:vAlign w:val="bottom"/>
          </w:tcPr>
          <w:p>
            <w:pPr>
              <w:pStyle w:val="TableContents"/>
              <w:bidi w:val="0"/>
              <w:spacing w:before="0" w:after="283"/>
              <w:jc w:val="left"/>
              <w:rPr/>
            </w:pPr>
            <w:r>
              <w:rPr/>
              <w:t>  </w:t>
            </w:r>
          </w:p>
        </w:tc>
        <w:tc>
          <w:tcPr>
            <w:tcW w:w="8414" w:type="dxa"/>
            <w:tcBorders/>
            <w:vAlign w:val="bottom"/>
          </w:tcPr>
          <w:p>
            <w:pPr>
              <w:pStyle w:val="TableContents"/>
              <w:bidi w:val="0"/>
              <w:spacing w:before="0" w:after="283"/>
              <w:jc w:val="left"/>
              <w:rPr/>
            </w:pPr>
            <w:r>
              <w:rPr/>
              <w:t>Waiver of Jury Trial</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51</w:t>
            </w:r>
          </w:p>
        </w:tc>
        <w:tc>
          <w:tcPr>
            <w:tcW w:w="62" w:type="dxa"/>
            <w:tcBorders/>
            <w:vAlign w:val="bottom"/>
          </w:tcPr>
          <w:p>
            <w:pPr>
              <w:pStyle w:val="TableContents"/>
              <w:bidi w:val="0"/>
              <w:spacing w:before="0" w:after="283"/>
              <w:jc w:val="left"/>
              <w:rPr/>
            </w:pPr>
            <w:r>
              <w:rPr/>
              <w:t> </w:t>
            </w:r>
          </w:p>
        </w:tc>
      </w:tr>
      <w:tr>
        <w:trPr/>
        <w:tc>
          <w:tcPr>
            <w:tcW w:w="11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13.10</w:t>
            </w:r>
          </w:p>
        </w:tc>
        <w:tc>
          <w:tcPr>
            <w:tcW w:w="122" w:type="dxa"/>
            <w:tcBorders/>
            <w:vAlign w:val="bottom"/>
          </w:tcPr>
          <w:p>
            <w:pPr>
              <w:pStyle w:val="TableContents"/>
              <w:bidi w:val="0"/>
              <w:spacing w:before="0" w:after="283"/>
              <w:jc w:val="left"/>
              <w:rPr/>
            </w:pPr>
            <w:r>
              <w:rPr/>
              <w:t>  </w:t>
            </w:r>
          </w:p>
        </w:tc>
        <w:tc>
          <w:tcPr>
            <w:tcW w:w="8414" w:type="dxa"/>
            <w:tcBorders/>
            <w:vAlign w:val="bottom"/>
          </w:tcPr>
          <w:p>
            <w:pPr>
              <w:pStyle w:val="TableContents"/>
              <w:bidi w:val="0"/>
              <w:spacing w:before="0" w:after="283"/>
              <w:jc w:val="left"/>
              <w:rPr/>
            </w:pPr>
            <w:r>
              <w:rPr/>
              <w:t>Jurisdiction and Service</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51</w:t>
            </w:r>
          </w:p>
        </w:tc>
        <w:tc>
          <w:tcPr>
            <w:tcW w:w="62" w:type="dxa"/>
            <w:tcBorders/>
            <w:vAlign w:val="bottom"/>
          </w:tcPr>
          <w:p>
            <w:pPr>
              <w:pStyle w:val="TableContents"/>
              <w:bidi w:val="0"/>
              <w:spacing w:before="0" w:after="283"/>
              <w:jc w:val="left"/>
              <w:rPr/>
            </w:pPr>
            <w:r>
              <w:rPr/>
              <w:t> </w:t>
            </w:r>
          </w:p>
        </w:tc>
      </w:tr>
      <w:tr>
        <w:trPr/>
        <w:tc>
          <w:tcPr>
            <w:tcW w:w="11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13.11</w:t>
            </w:r>
          </w:p>
        </w:tc>
        <w:tc>
          <w:tcPr>
            <w:tcW w:w="122" w:type="dxa"/>
            <w:tcBorders/>
            <w:vAlign w:val="bottom"/>
          </w:tcPr>
          <w:p>
            <w:pPr>
              <w:pStyle w:val="TableContents"/>
              <w:bidi w:val="0"/>
              <w:spacing w:before="0" w:after="283"/>
              <w:jc w:val="left"/>
              <w:rPr/>
            </w:pPr>
            <w:r>
              <w:rPr/>
              <w:t>  </w:t>
            </w:r>
          </w:p>
        </w:tc>
        <w:tc>
          <w:tcPr>
            <w:tcW w:w="8414" w:type="dxa"/>
            <w:tcBorders/>
            <w:vAlign w:val="bottom"/>
          </w:tcPr>
          <w:p>
            <w:pPr>
              <w:pStyle w:val="TableContents"/>
              <w:bidi w:val="0"/>
              <w:spacing w:before="0" w:after="283"/>
              <w:jc w:val="left"/>
              <w:rPr/>
            </w:pPr>
            <w:r>
              <w:rPr/>
              <w:t>Successors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51</w:t>
            </w:r>
          </w:p>
        </w:tc>
        <w:tc>
          <w:tcPr>
            <w:tcW w:w="62" w:type="dxa"/>
            <w:tcBorders/>
            <w:vAlign w:val="bottom"/>
          </w:tcPr>
          <w:p>
            <w:pPr>
              <w:pStyle w:val="TableContents"/>
              <w:bidi w:val="0"/>
              <w:spacing w:before="0" w:after="283"/>
              <w:jc w:val="left"/>
              <w:rPr/>
            </w:pPr>
            <w:r>
              <w:rPr/>
              <w:t> </w:t>
            </w:r>
          </w:p>
        </w:tc>
      </w:tr>
      <w:tr>
        <w:trPr/>
        <w:tc>
          <w:tcPr>
            <w:tcW w:w="11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13.12</w:t>
            </w:r>
          </w:p>
        </w:tc>
        <w:tc>
          <w:tcPr>
            <w:tcW w:w="122" w:type="dxa"/>
            <w:tcBorders/>
            <w:vAlign w:val="bottom"/>
          </w:tcPr>
          <w:p>
            <w:pPr>
              <w:pStyle w:val="TableContents"/>
              <w:bidi w:val="0"/>
              <w:spacing w:before="0" w:after="283"/>
              <w:jc w:val="left"/>
              <w:rPr/>
            </w:pPr>
            <w:r>
              <w:rPr/>
              <w:t>  </w:t>
            </w:r>
          </w:p>
        </w:tc>
        <w:tc>
          <w:tcPr>
            <w:tcW w:w="8414" w:type="dxa"/>
            <w:tcBorders/>
            <w:vAlign w:val="bottom"/>
          </w:tcPr>
          <w:p>
            <w:pPr>
              <w:pStyle w:val="TableContents"/>
              <w:bidi w:val="0"/>
              <w:spacing w:before="0" w:after="283"/>
              <w:jc w:val="left"/>
              <w:rPr/>
            </w:pPr>
            <w:r>
              <w:rPr/>
              <w:t>Multiple Originals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51</w:t>
            </w:r>
          </w:p>
        </w:tc>
        <w:tc>
          <w:tcPr>
            <w:tcW w:w="62" w:type="dxa"/>
            <w:tcBorders/>
            <w:vAlign w:val="bottom"/>
          </w:tcPr>
          <w:p>
            <w:pPr>
              <w:pStyle w:val="TableContents"/>
              <w:bidi w:val="0"/>
              <w:spacing w:before="0" w:after="283"/>
              <w:jc w:val="left"/>
              <w:rPr/>
            </w:pPr>
            <w:r>
              <w:rPr/>
              <w:t> </w:t>
            </w:r>
          </w:p>
        </w:tc>
      </w:tr>
      <w:tr>
        <w:trPr/>
        <w:tc>
          <w:tcPr>
            <w:tcW w:w="11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13.13</w:t>
            </w:r>
          </w:p>
        </w:tc>
        <w:tc>
          <w:tcPr>
            <w:tcW w:w="122" w:type="dxa"/>
            <w:tcBorders/>
            <w:vAlign w:val="bottom"/>
          </w:tcPr>
          <w:p>
            <w:pPr>
              <w:pStyle w:val="TableContents"/>
              <w:bidi w:val="0"/>
              <w:spacing w:before="0" w:after="283"/>
              <w:jc w:val="left"/>
              <w:rPr/>
            </w:pPr>
            <w:r>
              <w:rPr/>
              <w:t>  </w:t>
            </w:r>
          </w:p>
        </w:tc>
        <w:tc>
          <w:tcPr>
            <w:tcW w:w="8414" w:type="dxa"/>
            <w:tcBorders/>
            <w:vAlign w:val="bottom"/>
          </w:tcPr>
          <w:p>
            <w:pPr>
              <w:pStyle w:val="TableContents"/>
              <w:bidi w:val="0"/>
              <w:spacing w:before="0" w:after="283"/>
              <w:jc w:val="left"/>
              <w:rPr/>
            </w:pPr>
            <w:r>
              <w:rPr/>
              <w:t>Table of Contents; Headings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51</w:t>
            </w:r>
          </w:p>
        </w:tc>
        <w:tc>
          <w:tcPr>
            <w:tcW w:w="62" w:type="dxa"/>
            <w:tcBorders/>
            <w:vAlign w:val="bottom"/>
          </w:tcPr>
          <w:p>
            <w:pPr>
              <w:pStyle w:val="TableContents"/>
              <w:bidi w:val="0"/>
              <w:spacing w:before="0" w:after="283"/>
              <w:jc w:val="left"/>
              <w:rPr/>
            </w:pPr>
            <w:r>
              <w:rPr/>
              <w:t> </w:t>
            </w:r>
          </w:p>
        </w:tc>
      </w:tr>
      <w:tr>
        <w:trPr/>
        <w:tc>
          <w:tcPr>
            <w:tcW w:w="11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13.14</w:t>
            </w:r>
          </w:p>
        </w:tc>
        <w:tc>
          <w:tcPr>
            <w:tcW w:w="122" w:type="dxa"/>
            <w:tcBorders/>
            <w:vAlign w:val="bottom"/>
          </w:tcPr>
          <w:p>
            <w:pPr>
              <w:pStyle w:val="TableContents"/>
              <w:bidi w:val="0"/>
              <w:spacing w:before="0" w:after="283"/>
              <w:jc w:val="left"/>
              <w:rPr/>
            </w:pPr>
            <w:r>
              <w:rPr/>
              <w:t>  </w:t>
            </w:r>
          </w:p>
        </w:tc>
        <w:tc>
          <w:tcPr>
            <w:tcW w:w="8414" w:type="dxa"/>
            <w:tcBorders/>
            <w:vAlign w:val="bottom"/>
          </w:tcPr>
          <w:p>
            <w:pPr>
              <w:pStyle w:val="TableContents"/>
              <w:bidi w:val="0"/>
              <w:spacing w:before="0" w:after="283"/>
              <w:jc w:val="left"/>
              <w:rPr/>
            </w:pPr>
            <w:r>
              <w:rPr/>
              <w:t>Force Majeure</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52</w:t>
            </w:r>
          </w:p>
        </w:tc>
        <w:tc>
          <w:tcPr>
            <w:tcW w:w="62" w:type="dxa"/>
            <w:tcBorders/>
            <w:vAlign w:val="bottom"/>
          </w:tcPr>
          <w:p>
            <w:pPr>
              <w:pStyle w:val="TableContents"/>
              <w:bidi w:val="0"/>
              <w:spacing w:before="0" w:after="283"/>
              <w:jc w:val="left"/>
              <w:rPr/>
            </w:pPr>
            <w:r>
              <w:rPr/>
              <w:t> </w:t>
            </w:r>
          </w:p>
        </w:tc>
      </w:tr>
      <w:tr>
        <w:trPr/>
        <w:tc>
          <w:tcPr>
            <w:tcW w:w="11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13.15</w:t>
            </w:r>
          </w:p>
        </w:tc>
        <w:tc>
          <w:tcPr>
            <w:tcW w:w="122" w:type="dxa"/>
            <w:tcBorders/>
            <w:vAlign w:val="bottom"/>
          </w:tcPr>
          <w:p>
            <w:pPr>
              <w:pStyle w:val="TableContents"/>
              <w:bidi w:val="0"/>
              <w:spacing w:before="0" w:after="283"/>
              <w:jc w:val="left"/>
              <w:rPr/>
            </w:pPr>
            <w:r>
              <w:rPr/>
              <w:t>  </w:t>
            </w:r>
          </w:p>
        </w:tc>
        <w:tc>
          <w:tcPr>
            <w:tcW w:w="8414" w:type="dxa"/>
            <w:tcBorders/>
            <w:vAlign w:val="bottom"/>
          </w:tcPr>
          <w:p>
            <w:pPr>
              <w:pStyle w:val="TableContents"/>
              <w:bidi w:val="0"/>
              <w:spacing w:before="0" w:after="283"/>
              <w:jc w:val="left"/>
              <w:rPr/>
            </w:pPr>
            <w:r>
              <w:rPr/>
              <w:t>Separability</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52</w:t>
            </w:r>
          </w:p>
        </w:tc>
        <w:tc>
          <w:tcPr>
            <w:tcW w:w="62" w:type="dxa"/>
            <w:tcBorders/>
            <w:vAlign w:val="bottom"/>
          </w:tcPr>
          <w:p>
            <w:pPr>
              <w:pStyle w:val="TableContents"/>
              <w:bidi w:val="0"/>
              <w:spacing w:before="0" w:after="283"/>
              <w:jc w:val="left"/>
              <w:rPr/>
            </w:pPr>
            <w:r>
              <w:rPr/>
              <w:t> </w:t>
            </w:r>
          </w:p>
        </w:tc>
      </w:tr>
      <w:tr>
        <w:trPr/>
        <w:tc>
          <w:tcPr>
            <w:tcW w:w="11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13.16</w:t>
            </w:r>
          </w:p>
        </w:tc>
        <w:tc>
          <w:tcPr>
            <w:tcW w:w="122" w:type="dxa"/>
            <w:tcBorders/>
            <w:vAlign w:val="bottom"/>
          </w:tcPr>
          <w:p>
            <w:pPr>
              <w:pStyle w:val="TableContents"/>
              <w:bidi w:val="0"/>
              <w:spacing w:before="0" w:after="283"/>
              <w:jc w:val="left"/>
              <w:rPr/>
            </w:pPr>
            <w:r>
              <w:rPr/>
              <w:t>  </w:t>
            </w:r>
          </w:p>
        </w:tc>
        <w:tc>
          <w:tcPr>
            <w:tcW w:w="8414" w:type="dxa"/>
            <w:tcBorders/>
            <w:vAlign w:val="bottom"/>
          </w:tcPr>
          <w:p>
            <w:pPr>
              <w:pStyle w:val="TableContents"/>
              <w:bidi w:val="0"/>
              <w:spacing w:before="0" w:after="283"/>
              <w:jc w:val="left"/>
              <w:rPr/>
            </w:pPr>
            <w:r>
              <w:rPr/>
              <w:t>USA Patriot Act</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52</w:t>
            </w:r>
          </w:p>
        </w:tc>
        <w:tc>
          <w:tcPr>
            <w:tcW w:w="62" w:type="dxa"/>
            <w:tcBorders/>
            <w:vAlign w:val="bottom"/>
          </w:tcPr>
          <w:p>
            <w:pPr>
              <w:pStyle w:val="TableContents"/>
              <w:bidi w:val="0"/>
              <w:spacing w:before="0" w:after="283"/>
              <w:jc w:val="left"/>
              <w:rPr/>
            </w:pPr>
            <w:r>
              <w:rPr/>
              <w:t> </w:t>
            </w:r>
          </w:p>
        </w:tc>
      </w:tr>
      <w:tr>
        <w:trPr/>
        <w:tc>
          <w:tcPr>
            <w:tcW w:w="11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13.17</w:t>
            </w:r>
          </w:p>
        </w:tc>
        <w:tc>
          <w:tcPr>
            <w:tcW w:w="122" w:type="dxa"/>
            <w:tcBorders/>
            <w:vAlign w:val="bottom"/>
          </w:tcPr>
          <w:p>
            <w:pPr>
              <w:pStyle w:val="TableContents"/>
              <w:bidi w:val="0"/>
              <w:spacing w:before="0" w:after="283"/>
              <w:jc w:val="left"/>
              <w:rPr/>
            </w:pPr>
            <w:r>
              <w:rPr/>
              <w:t>  </w:t>
            </w:r>
          </w:p>
        </w:tc>
        <w:tc>
          <w:tcPr>
            <w:tcW w:w="8414" w:type="dxa"/>
            <w:tcBorders/>
            <w:vAlign w:val="bottom"/>
          </w:tcPr>
          <w:p>
            <w:pPr>
              <w:pStyle w:val="TableContents"/>
              <w:bidi w:val="0"/>
              <w:spacing w:before="0" w:after="283"/>
              <w:jc w:val="left"/>
              <w:rPr/>
            </w:pPr>
            <w:r>
              <w:rPr/>
              <w:t>No Adverse Interpretation of Other Agreements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52</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7"/>
        <w:gridCol w:w="324"/>
        <w:gridCol w:w="8914"/>
      </w:tblGrid>
      <w:tr>
        <w:trPr/>
        <w:tc>
          <w:tcPr>
            <w:tcW w:w="967"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8914" w:type="dxa"/>
            <w:tcBorders/>
            <w:vAlign w:val="center"/>
          </w:tcPr>
          <w:p>
            <w:pPr>
              <w:pStyle w:val="TableContents"/>
              <w:bidi w:val="0"/>
              <w:spacing w:before="0" w:after="283"/>
              <w:jc w:val="left"/>
              <w:rPr>
                <w:sz w:val="4"/>
                <w:szCs w:val="4"/>
              </w:rPr>
            </w:pPr>
            <w:r>
              <w:rPr>
                <w:sz w:val="4"/>
                <w:szCs w:val="4"/>
              </w:rPr>
            </w:r>
          </w:p>
        </w:tc>
      </w:tr>
      <w:tr>
        <w:trPr/>
        <w:tc>
          <w:tcPr>
            <w:tcW w:w="967" w:type="dxa"/>
            <w:tcBorders/>
          </w:tcPr>
          <w:p>
            <w:pPr>
              <w:pStyle w:val="TableContents"/>
              <w:bidi w:val="0"/>
              <w:spacing w:before="0" w:after="283"/>
              <w:jc w:val="left"/>
              <w:rPr/>
            </w:pPr>
            <w:r>
              <w:rPr/>
              <w:t>Exhibit A</w:t>
            </w:r>
          </w:p>
        </w:tc>
        <w:tc>
          <w:tcPr>
            <w:tcW w:w="324" w:type="dxa"/>
            <w:tcBorders/>
            <w:vAlign w:val="bottom"/>
          </w:tcPr>
          <w:p>
            <w:pPr>
              <w:pStyle w:val="TableContents"/>
              <w:bidi w:val="0"/>
              <w:spacing w:before="0" w:after="283"/>
              <w:jc w:val="left"/>
              <w:rPr/>
            </w:pPr>
            <w:r>
              <w:rPr/>
              <w:t>  </w:t>
            </w:r>
          </w:p>
        </w:tc>
        <w:tc>
          <w:tcPr>
            <w:tcW w:w="8914" w:type="dxa"/>
            <w:tcBorders/>
          </w:tcPr>
          <w:p>
            <w:pPr>
              <w:pStyle w:val="TableContents"/>
              <w:bidi w:val="0"/>
              <w:spacing w:before="0" w:after="283"/>
              <w:jc w:val="left"/>
              <w:rPr/>
            </w:pPr>
            <w:r>
              <w:rPr/>
              <w:t>FORM OF GLOBAL NOTE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THIS TWENTY-SECOND SUPPLEMENTAL INDENTURE (the “</w:t>
      </w:r>
      <w:r>
        <w:rPr>
          <w:rFonts w:ascii="Times New Roman" w:hAnsi="Times New Roman"/>
          <w:sz w:val="20"/>
          <w:u w:val="single"/>
        </w:rPr>
        <w:t>Supplemental Indenture</w:t>
      </w:r>
      <w:r>
        <w:rPr>
          <w:rFonts w:ascii="Times New Roman" w:hAnsi="Times New Roman"/>
          <w:sz w:val="20"/>
        </w:rPr>
        <w:t>”), dated as of August 17, 2026 between MASTEC, INC., a Florida corporation (the “</w:t>
      </w:r>
      <w:r>
        <w:rPr>
          <w:rFonts w:ascii="Times New Roman" w:hAnsi="Times New Roman"/>
          <w:sz w:val="20"/>
          <w:u w:val="single"/>
        </w:rPr>
        <w:t>Company</w:t>
      </w:r>
      <w:r>
        <w:rPr>
          <w:rFonts w:ascii="Times New Roman" w:hAnsi="Times New Roman"/>
          <w:sz w:val="20"/>
        </w:rPr>
        <w:t>”), and U.S. Bank Trust Company, National Association, a national banking association, as Trustee hereunder (the “</w:t>
      </w:r>
      <w:r>
        <w:rPr>
          <w:rFonts w:ascii="Times New Roman" w:hAnsi="Times New Roman"/>
          <w:sz w:val="20"/>
          <w:u w:val="single"/>
        </w:rPr>
        <w:t>Trustee</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W I T N E S S E T H </w:t>
      </w:r>
    </w:p>
    <w:p>
      <w:pPr>
        <w:pStyle w:val="TextBody"/>
        <w:bidi w:val="0"/>
        <w:spacing w:before="240" w:after="0"/>
        <w:jc w:val="left"/>
        <w:rPr>
          <w:rFonts w:ascii="Times New Roman" w:hAnsi="Times New Roman"/>
          <w:sz w:val="20"/>
        </w:rPr>
      </w:pPr>
      <w:r>
        <w:rPr>
          <w:rFonts w:ascii="Times New Roman" w:hAnsi="Times New Roman"/>
          <w:sz w:val="20"/>
        </w:rPr>
        <w:t>WHEREAS, the Company, the guarantors parties thereto and the Trustee are parties to an Indenture dated as of June 5, 2009 (the “</w:t>
      </w:r>
      <w:r>
        <w:rPr>
          <w:rFonts w:ascii="Times New Roman" w:hAnsi="Times New Roman"/>
          <w:sz w:val="20"/>
          <w:u w:val="single"/>
        </w:rPr>
        <w:t>Base Indenture</w:t>
      </w:r>
      <w:r>
        <w:rPr>
          <w:rFonts w:ascii="Times New Roman" w:hAnsi="Times New Roman"/>
          <w:sz w:val="20"/>
        </w:rPr>
        <w:t>” and, together with this Supplemental Indenture, the “</w:t>
      </w:r>
      <w:r>
        <w:rPr>
          <w:rFonts w:ascii="Times New Roman" w:hAnsi="Times New Roman"/>
          <w:sz w:val="20"/>
          <w:u w:val="single"/>
        </w:rPr>
        <w:t>Indenture</w:t>
      </w:r>
      <w:r>
        <w:rPr>
          <w:rFonts w:ascii="Times New Roman" w:hAnsi="Times New Roman"/>
          <w:sz w:val="20"/>
        </w:rPr>
        <w:t>”) providing, among other things, for the issuance by the Company from time to time of its senior debt securities evidencing its unsecured and unsubordinated indebtedness, in an unlimited aggregate principal amount, in one or more series (collectively, the “</w:t>
      </w:r>
      <w:r>
        <w:rPr>
          <w:rFonts w:ascii="Times New Roman" w:hAnsi="Times New Roman"/>
          <w:sz w:val="20"/>
          <w:u w:val="single"/>
        </w:rPr>
        <w:t>Securities</w:t>
      </w:r>
      <w:r>
        <w:rPr>
          <w:rFonts w:ascii="Times New Roman" w:hAnsi="Times New Roman"/>
          <w:sz w:val="20"/>
        </w:rPr>
        <w:t>” and each, a “</w:t>
      </w:r>
      <w:r>
        <w:rPr>
          <w:rFonts w:ascii="Times New Roman" w:hAnsi="Times New Roman"/>
          <w:sz w:val="20"/>
          <w:u w:val="single"/>
        </w:rPr>
        <w:t>Securit</w:t>
      </w:r>
      <w:r>
        <w:rPr>
          <w:rFonts w:ascii="Times New Roman" w:hAnsi="Times New Roman"/>
          <w:sz w:val="20"/>
        </w:rPr>
        <w:t xml:space="preserve">y”); </w:t>
      </w:r>
    </w:p>
    <w:p>
      <w:pPr>
        <w:pStyle w:val="TextBody"/>
        <w:bidi w:val="0"/>
        <w:spacing w:before="240" w:after="0"/>
        <w:jc w:val="left"/>
        <w:rPr>
          <w:rFonts w:ascii="Times New Roman" w:hAnsi="Times New Roman"/>
          <w:sz w:val="20"/>
        </w:rPr>
      </w:pPr>
      <w:r>
        <w:rPr>
          <w:rFonts w:ascii="Times New Roman" w:hAnsi="Times New Roman"/>
          <w:sz w:val="20"/>
        </w:rPr>
        <w:t xml:space="preserve">WHEREAS, Section 901(7) of the Base Indenture provides for the Company and the Trustee to enter into indentures supplemental to the Base Indenture to establish the form and terms of Securities of any series, as provided by Sections 201 and 301 of the Base Indenture, without the consent of the Holders of any Securities; </w:t>
      </w:r>
    </w:p>
    <w:p>
      <w:pPr>
        <w:pStyle w:val="TextBody"/>
        <w:bidi w:val="0"/>
        <w:spacing w:before="240" w:after="0"/>
        <w:jc w:val="left"/>
        <w:rPr>
          <w:rFonts w:ascii="Times New Roman" w:hAnsi="Times New Roman"/>
          <w:sz w:val="20"/>
        </w:rPr>
      </w:pPr>
      <w:r>
        <w:rPr>
          <w:rFonts w:ascii="Times New Roman" w:hAnsi="Times New Roman"/>
          <w:sz w:val="20"/>
        </w:rPr>
        <w:t>WHEREAS, for its lawful corporate purposes, the Company has duly authorized the issue of $650,000,000 aggregate principal amount of 5.850% Senior Notes due 2036 (the “</w:t>
      </w:r>
      <w:r>
        <w:rPr>
          <w:rFonts w:ascii="Times New Roman" w:hAnsi="Times New Roman"/>
          <w:sz w:val="20"/>
          <w:u w:val="single"/>
        </w:rPr>
        <w:t>Initial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in order to provide the terms and conditions upon which the Notes are to be authenticated, issued and delivered, the Board of Directors of the Company has duly authorized the execution and delivery of this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WHEREAS, the Notes and the certificate of authentication to be borne by the Notes are to be substantially in the forms hereinafter provided for; </w:t>
      </w:r>
    </w:p>
    <w:p>
      <w:pPr>
        <w:pStyle w:val="TextBody"/>
        <w:bidi w:val="0"/>
        <w:spacing w:before="240" w:after="0"/>
        <w:jc w:val="left"/>
        <w:rPr>
          <w:rFonts w:ascii="Times New Roman" w:hAnsi="Times New Roman"/>
          <w:sz w:val="20"/>
        </w:rPr>
      </w:pPr>
      <w:r>
        <w:rPr>
          <w:rFonts w:ascii="Times New Roman" w:hAnsi="Times New Roman"/>
          <w:sz w:val="20"/>
        </w:rPr>
        <w:t xml:space="preserve">WHEREAS, all acts and things necessary to make this Supplemental Indenture a valid agreement of the Company according to its terms have been done and performed; and </w:t>
      </w:r>
    </w:p>
    <w:p>
      <w:pPr>
        <w:pStyle w:val="TextBody"/>
        <w:bidi w:val="0"/>
        <w:spacing w:before="240" w:after="0"/>
        <w:jc w:val="left"/>
        <w:rPr>
          <w:rFonts w:ascii="Times New Roman" w:hAnsi="Times New Roman"/>
          <w:sz w:val="20"/>
        </w:rPr>
      </w:pPr>
      <w:r>
        <w:rPr>
          <w:rFonts w:ascii="Times New Roman" w:hAnsi="Times New Roman"/>
          <w:sz w:val="20"/>
        </w:rPr>
        <w:t xml:space="preserve">WHEREAS, all acts and things necessary to make the Notes, when executed by the Company and authenticated and delivered by the Trustee as provided in the Indenture and this Supplemental Indenture, the valid and binding obligations of the Company have been done and performed. </w:t>
      </w:r>
    </w:p>
    <w:p>
      <w:pPr>
        <w:pStyle w:val="TextBody"/>
        <w:bidi w:val="0"/>
        <w:spacing w:before="240" w:after="0"/>
        <w:jc w:val="left"/>
        <w:rPr>
          <w:rFonts w:ascii="Times New Roman" w:hAnsi="Times New Roman"/>
          <w:sz w:val="20"/>
        </w:rPr>
      </w:pPr>
      <w:r>
        <w:rPr>
          <w:rFonts w:ascii="Times New Roman" w:hAnsi="Times New Roman"/>
          <w:sz w:val="20"/>
        </w:rPr>
        <w:t xml:space="preserve">NOW, THEREFORE, WITNESSETH: </w:t>
      </w:r>
    </w:p>
    <w:p>
      <w:pPr>
        <w:pStyle w:val="TextBody"/>
        <w:bidi w:val="0"/>
        <w:spacing w:before="120" w:after="0"/>
        <w:jc w:val="left"/>
        <w:rPr>
          <w:rFonts w:ascii="Times New Roman" w:hAnsi="Times New Roman"/>
          <w:sz w:val="20"/>
        </w:rPr>
      </w:pPr>
      <w:r>
        <w:rPr>
          <w:rFonts w:ascii="Times New Roman" w:hAnsi="Times New Roman"/>
          <w:sz w:val="20"/>
        </w:rPr>
        <w:t xml:space="preserve">For and in consideration of the premises and of the covenants contained herein and in the Base Indenture, the Company and the Trustee covenant and agree, for the equal and proportionate benefit of all Holders of the Notes issued on or after the date of this Supplemental Indenture, as follows: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1 </w:t>
      </w:r>
    </w:p>
    <w:p>
      <w:pPr>
        <w:pStyle w:val="TextBody"/>
        <w:bidi w:val="0"/>
        <w:spacing w:before="120" w:after="0"/>
        <w:jc w:val="center"/>
        <w:rPr>
          <w:rFonts w:ascii="Times New Roman" w:hAnsi="Times New Roman"/>
          <w:sz w:val="20"/>
        </w:rPr>
      </w:pPr>
      <w:r>
        <w:rPr>
          <w:rFonts w:ascii="Times New Roman" w:hAnsi="Times New Roman"/>
          <w:sz w:val="20"/>
        </w:rPr>
        <w:t xml:space="preserve">DEFINITIONS AND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Relationship to Base 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changes, modifications and supplements to the Base Indenture effected by this Supplemental Indenture shall be applicable only with respect to, and shall only govern the terms of, the Notes, which may be issued from time to time, and shall not apply to any other Securities that may be issued under the Base Indenture unless a supplemental indenture with respect to such other Securities specifically incorporates such changes, modifications and supplements. Capitalized terms used herein but not defined herein shall have the meanings assigned to them in the Base Indenture. The provisions of this Supplemental Indenture shall supersede any corresponding or conflicting provisions and definitions in the Base Indenture, and the Base Indenture shall remain in full force and effect to the extent not so modified. The provisions of Articles Twelve, Fifteen and Sixteen of the Base Indenture shall not apply to the Notes issued pursuant to this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Additional Definitions</w:t>
      </w:r>
      <w:r>
        <w:rPr>
          <w:rFonts w:ascii="Times New Roman" w:hAnsi="Times New Roman"/>
          <w:sz w:val="20"/>
        </w:rPr>
        <w:t xml:space="preserve">. For purposes of this Supplemental Indenture and the Notes, the following terms have the meanings assigned to them below. In the event that any term defined below was defined in the Base Indenture, the definition set forth below shall supersede any such definition for purposes of this Supplemental Indenture and the Notes. </w:t>
      </w:r>
    </w:p>
    <w:p>
      <w:pPr>
        <w:pStyle w:val="TextBody"/>
        <w:bidi w:val="0"/>
        <w:spacing w:before="240" w:after="0"/>
        <w:jc w:val="left"/>
        <w:rPr/>
      </w:pPr>
      <w:r>
        <w:rPr/>
        <w:t>“</w:t>
      </w:r>
      <w:r>
        <w:rPr>
          <w:rFonts w:ascii="Times New Roman" w:hAnsi="Times New Roman"/>
          <w:sz w:val="20"/>
          <w:u w:val="single"/>
        </w:rPr>
        <w:t>Additional Notes</w:t>
      </w:r>
      <w:r>
        <w:rPr>
          <w:rFonts w:ascii="Times New Roman" w:hAnsi="Times New Roman"/>
          <w:sz w:val="20"/>
        </w:rPr>
        <w:t xml:space="preserve">” means additional Notes (other than the Initial Notes) issued under this Indenture in accordance with Sections 2.02 and 2.09 hereof, as part of the same series as the Initial Notes. </w:t>
      </w:r>
    </w:p>
    <w:p>
      <w:pPr>
        <w:pStyle w:val="TextBody"/>
        <w:bidi w:val="0"/>
        <w:spacing w:before="240" w:after="0"/>
        <w:jc w:val="left"/>
        <w:rPr/>
      </w:pPr>
      <w:r>
        <w:rPr/>
        <w:t>“</w:t>
      </w:r>
      <w:r>
        <w:rPr>
          <w:rFonts w:ascii="Times New Roman" w:hAnsi="Times New Roman"/>
          <w:sz w:val="20"/>
          <w:u w:val="single"/>
        </w:rPr>
        <w:t>A</w:t>
      </w:r>
      <w:r>
        <w:rPr>
          <w:rFonts w:ascii="Times New Roman" w:hAnsi="Times New Roman"/>
          <w:sz w:val="20"/>
        </w:rPr>
        <w:t>g</w:t>
      </w:r>
      <w:r>
        <w:rPr>
          <w:rFonts w:ascii="Times New Roman" w:hAnsi="Times New Roman"/>
          <w:sz w:val="20"/>
          <w:u w:val="single"/>
        </w:rPr>
        <w:t>ent</w:t>
      </w:r>
      <w:r>
        <w:rPr>
          <w:rFonts w:ascii="Times New Roman" w:hAnsi="Times New Roman"/>
          <w:sz w:val="20"/>
        </w:rPr>
        <w:t xml:space="preserve">” means any Registrar, co-registrar, Paying Agent or additional paying agent. </w:t>
      </w:r>
    </w:p>
    <w:p>
      <w:pPr>
        <w:pStyle w:val="TextBody"/>
        <w:bidi w:val="0"/>
        <w:spacing w:before="240" w:after="0"/>
        <w:jc w:val="left"/>
        <w:rPr/>
      </w:pPr>
      <w:r>
        <w:rPr/>
        <w:t>“</w:t>
      </w:r>
      <w:r>
        <w:rPr>
          <w:rFonts w:ascii="Times New Roman" w:hAnsi="Times New Roman"/>
          <w:sz w:val="20"/>
          <w:u w:val="single"/>
        </w:rPr>
        <w:t>Applicable Procedures</w:t>
      </w:r>
      <w:r>
        <w:rPr>
          <w:rFonts w:ascii="Times New Roman" w:hAnsi="Times New Roman"/>
          <w:sz w:val="20"/>
        </w:rPr>
        <w:t xml:space="preserve">” means, with respect to any transfer or exchange of or for beneficial interests in any Global Note, the rules and procedures of the Depositary, Euroclear and Clearstream that apply to such transfer or exchange. </w:t>
      </w:r>
    </w:p>
    <w:p>
      <w:pPr>
        <w:pStyle w:val="TextBody"/>
        <w:bidi w:val="0"/>
        <w:spacing w:before="240" w:after="0"/>
        <w:jc w:val="left"/>
        <w:rPr/>
      </w:pPr>
      <w:r>
        <w:rPr/>
        <w:t>“</w:t>
      </w:r>
      <w:r>
        <w:rPr>
          <w:rFonts w:ascii="Times New Roman" w:hAnsi="Times New Roman"/>
          <w:sz w:val="20"/>
          <w:u w:val="single"/>
        </w:rPr>
        <w:t>Attributable Indebtedness</w:t>
      </w:r>
      <w:r>
        <w:rPr>
          <w:rFonts w:ascii="Times New Roman" w:hAnsi="Times New Roman"/>
          <w:sz w:val="20"/>
        </w:rPr>
        <w:t xml:space="preserve">” with respect to a Sale/Leaseback Transaction means, as of the time of determination, (i) if the obligation with respect to such Sale/Leaseback Transaction is a Finance Lease Obligation, the amount of such obligation determined in accordance with GAAP and included in the financial statements of the lessee or (ii) if the obligation with respect to such Sale/Leaseback Transaction is not a Finance Lease Obligation, the total Net Amount of Rent required to be paid by the lessee under such lease during the remaining term thereof (including any period for which the lease has been extended), discounted from the respective due dates thereof to such determination date at the rate per annum borne by the notes compounded semi-annually. </w:t>
      </w:r>
    </w:p>
    <w:p>
      <w:pPr>
        <w:pStyle w:val="TextBody"/>
        <w:bidi w:val="0"/>
        <w:spacing w:before="240" w:after="0"/>
        <w:jc w:val="left"/>
        <w:rPr/>
      </w:pPr>
      <w:r>
        <w:rPr/>
        <w:t>“</w:t>
      </w:r>
      <w:r>
        <w:rPr>
          <w:rFonts w:ascii="Times New Roman" w:hAnsi="Times New Roman"/>
          <w:sz w:val="20"/>
          <w:u w:val="single"/>
        </w:rPr>
        <w:t>Bankruptcy Law</w:t>
      </w:r>
      <w:r>
        <w:rPr>
          <w:rFonts w:ascii="Times New Roman" w:hAnsi="Times New Roman"/>
          <w:sz w:val="20"/>
        </w:rPr>
        <w:t xml:space="preserve">” means Title 11, U.S. Code or any similar federal or state law for the relief of debtors.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Board of Directors</w:t>
      </w:r>
      <w:r>
        <w:rPr>
          <w:rFonts w:ascii="Times New Roman" w:hAnsi="Times New Roman"/>
          <w:sz w:val="20"/>
        </w:rPr>
        <w:t xml:space="preserve">” means, with respect to any Person, the Board of Directors of such Person or any duly authorized committee of such Board of Directors. Unless otherwise indicated, the “Board of Directors” refers to the Board of Directors of the Company. </w:t>
      </w:r>
    </w:p>
    <w:p>
      <w:pPr>
        <w:pStyle w:val="TextBody"/>
        <w:bidi w:val="0"/>
        <w:spacing w:before="240" w:after="0"/>
        <w:jc w:val="left"/>
        <w:rPr/>
      </w:pPr>
      <w:r>
        <w:rPr/>
        <w:t>“</w:t>
      </w:r>
      <w:r>
        <w:rPr>
          <w:rFonts w:ascii="Times New Roman" w:hAnsi="Times New Roman"/>
          <w:sz w:val="20"/>
          <w:u w:val="single"/>
        </w:rPr>
        <w:t>Business Da</w:t>
      </w:r>
      <w:r>
        <w:rPr>
          <w:rFonts w:ascii="Times New Roman" w:hAnsi="Times New Roman"/>
          <w:sz w:val="20"/>
        </w:rPr>
        <w:t xml:space="preserve">y” means a day other than a Saturday, Sunday or other day on which banking institutions are authorized or required by law to close in the state of New York State. </w:t>
      </w:r>
    </w:p>
    <w:p>
      <w:pPr>
        <w:pStyle w:val="TextBody"/>
        <w:bidi w:val="0"/>
        <w:spacing w:before="240" w:after="0"/>
        <w:jc w:val="left"/>
        <w:rPr/>
      </w:pPr>
      <w:r>
        <w:rPr/>
        <w:t>“</w:t>
      </w:r>
      <w:r>
        <w:rPr>
          <w:rFonts w:ascii="Times New Roman" w:hAnsi="Times New Roman"/>
          <w:sz w:val="20"/>
          <w:u w:val="single"/>
        </w:rPr>
        <w:t>Capital Stock</w:t>
      </w:r>
      <w:r>
        <w:rPr>
          <w:rFonts w:ascii="Times New Roman" w:hAnsi="Times New Roman"/>
          <w:sz w:val="20"/>
        </w:rPr>
        <w:t xml:space="preserve">” means, with respect to any Person, any and all shares, interests, participations or other equivalents (however designated, whether voting or non-voting) in equity of such Person, whether outstanding on the Issue Date or issued thereafter, including, without limitation, all common stock and preferred stock. </w:t>
      </w:r>
    </w:p>
    <w:p>
      <w:pPr>
        <w:pStyle w:val="TextBody"/>
        <w:bidi w:val="0"/>
        <w:spacing w:before="240" w:after="0"/>
        <w:jc w:val="left"/>
        <w:rPr/>
      </w:pPr>
      <w:r>
        <w:rPr/>
        <w:t>“</w:t>
      </w:r>
      <w:r>
        <w:rPr>
          <w:rFonts w:ascii="Times New Roman" w:hAnsi="Times New Roman"/>
          <w:sz w:val="20"/>
          <w:u w:val="single"/>
        </w:rPr>
        <w:t>Change of Control</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(1) such time as the Company becomes aware of (by way of a report or any other filing pursuant to Section 13(d) of the Exchange Act, proxy, vote, written notice or otherwise) any “person” (as such term is used in Sections 13(d) and 14(d) of the Exchange Act as in effect on the Issue Date), other than one or more Permitted Holders or a Parent Entity, that is or becomes the “beneficial owner” (as defined in Rules 13d-3 and 13d-5 of the Exchange Act as in effect on the Issue Date) of more than 50% of the total voting power of the Voting Stock of the Company; </w:t>
      </w:r>
      <w:r>
        <w:rPr>
          <w:rFonts w:ascii="Times New Roman" w:hAnsi="Times New Roman"/>
          <w:i/>
          <w:sz w:val="20"/>
        </w:rPr>
        <w:t>provided</w:t>
      </w:r>
      <w:r>
        <w:rPr>
          <w:rFonts w:ascii="Times New Roman" w:hAnsi="Times New Roman"/>
          <w:sz w:val="20"/>
        </w:rPr>
        <w:t xml:space="preserve"> that (x) so long as the Company is or becomes a Subsidiary of any Parent Entity, no person shall be deemed to be or become a beneficial owner of more than 50% of the total voting power of the Voting Stock of the Company unless such person shall be or become a beneficial owner of more than 50% of the total voting power of the Voting Stock of such Parent Entity (other than a Parent Entity that is a Subsidiary of another Parent Entity) and (y) any Voting Stock of which any Permitted Holder is the beneficial owner shall not in any case be included in any Voting Stock of which any such person is the beneficial owner; or </w:t>
      </w:r>
    </w:p>
    <w:p>
      <w:pPr>
        <w:pStyle w:val="TextBody"/>
        <w:bidi w:val="0"/>
        <w:spacing w:before="120" w:after="0"/>
        <w:jc w:val="left"/>
        <w:rPr>
          <w:rFonts w:ascii="Times New Roman" w:hAnsi="Times New Roman"/>
          <w:sz w:val="20"/>
        </w:rPr>
      </w:pPr>
      <w:r>
        <w:rPr>
          <w:rFonts w:ascii="Times New Roman" w:hAnsi="Times New Roman"/>
          <w:sz w:val="20"/>
        </w:rPr>
        <w:t xml:space="preserve">(2) the sale or transfer, in one or a series of related transactions, of all or substantially all of the assets of the Company and its Subsidiaries, taken as a whole, to a Person (other than the Company or any of its Subsidiaries or one or more Permitted Holders) and any “person” (as defined in clause (1) above), other than one or more Permitted Holders or any Parent Entity, is or becomes the “beneficial owner” (as so defined) of more than 50% of the total voting power of the Voting Stock of the transferee Person in such sale or transfer of assets, as the case may be; </w:t>
      </w:r>
      <w:r>
        <w:rPr>
          <w:rFonts w:ascii="Times New Roman" w:hAnsi="Times New Roman"/>
          <w:i/>
          <w:sz w:val="20"/>
        </w:rPr>
        <w:t>provided</w:t>
      </w:r>
      <w:r>
        <w:rPr>
          <w:rFonts w:ascii="Times New Roman" w:hAnsi="Times New Roman"/>
          <w:sz w:val="20"/>
        </w:rPr>
        <w:t xml:space="preserve"> that (x) so long as the Company is or becomes a Subsidiary of any Parent Entity, no person shall be deemed to be or become a beneficial owner of more than 50% of the total voting power of the Voting Stock of the Company unless such person shall be or become a beneficial owner of more than 50% of the total voting power of the Voting Stock of such Parent Entity (other than a Parent Entity that is a Subsidiary of another Parent Entity) and (y) any Voting Stock of which any Permitted Holder is the beneficial owner shall not in any case be included in any Voting Stock of which any such Person is the beneficial owner.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preceding or any provision of Section 13d-3 of the Exchange Act, (i) a Person or group shall not be deemed to beneficially own Voting Stock subject to a stock or asset purchase agreement, merger agreement, option agreement, warrant agreement or similar agreement (or voting or option or similar agreement related thereto) until the consummation of the acquisition of the Voting Stock in connection with the transactions contemplated by such agreement, (ii) if any group includes one or more Permitted Holders, the issued and outstanding Voting Stock of the Company owned, directly or indirectly, by any Permitted Holders that are part of such group shall not be treated as being beneficially owned by such group or any other member of such group for purposes of determining whether a Change of Control has occurred, (iii) a Person or group will not be deemed to beneficially own the Voting Stock of another Person as a result of its ownership of Voting Stock or other securities of such other Person’s parent entity (or related contractual rights) unless it owns 50% or more of the total voting power of the Voting Stock entitled to vote for the election of directors of such parent entity having a majority of the aggregate votes on the board of directors (or similar body) of such parent entity and (iv) the right to acquire Voting Stock (so long as such Person does not have the right to direct the voting of the Voting Stock subject to such right) or any veto power in connection with the acquisition or disposition of Voting Stock will not cause a party to be a beneficial owner. </w:t>
      </w:r>
    </w:p>
    <w:p>
      <w:pPr>
        <w:pStyle w:val="TextBody"/>
        <w:bidi w:val="0"/>
        <w:spacing w:before="240" w:after="0"/>
        <w:jc w:val="left"/>
        <w:rPr/>
      </w:pPr>
      <w:r>
        <w:rPr/>
        <w:t>“</w:t>
      </w:r>
      <w:r>
        <w:rPr>
          <w:rFonts w:ascii="Times New Roman" w:hAnsi="Times New Roman"/>
          <w:sz w:val="20"/>
          <w:u w:val="single"/>
        </w:rPr>
        <w:t>Change of Control Triggering Event</w:t>
      </w:r>
      <w:r>
        <w:rPr>
          <w:rFonts w:ascii="Times New Roman" w:hAnsi="Times New Roman"/>
          <w:sz w:val="20"/>
        </w:rPr>
        <w:t>” means (i) the rating of the Notes by both Rating Agencies is lowered at any time during the period (the “</w:t>
      </w:r>
      <w:r>
        <w:rPr>
          <w:rFonts w:ascii="Times New Roman" w:hAnsi="Times New Roman"/>
          <w:sz w:val="20"/>
          <w:u w:val="single"/>
        </w:rPr>
        <w:t>Trigger Period</w:t>
      </w:r>
      <w:r>
        <w:rPr>
          <w:rFonts w:ascii="Times New Roman" w:hAnsi="Times New Roman"/>
          <w:sz w:val="20"/>
        </w:rPr>
        <w:t xml:space="preserve">”) commencing on the earlier of (a) the occurrence of a Change of Control and (b) the first public announcement by us of any Change of Control (or pending Change of Control), and ending 60 days following consummation of such Change of Control (which Trigger Period will be extended following consummation of a Change of Control for so long as either Rating Agency has publicly announced that it is considering a possible ratings downgrade), and (ii) the Notes are rated below Investment Grade by both Rating Agencies on any day during the Trigger Period.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no Change of Control Triggering Event will be deemed to have occurred in connection with any particular Change of Control unless and until such Change of Control has actually been consummated. </w:t>
      </w:r>
    </w:p>
    <w:p>
      <w:pPr>
        <w:pStyle w:val="TextBody"/>
        <w:bidi w:val="0"/>
        <w:spacing w:before="240" w:after="0"/>
        <w:jc w:val="left"/>
        <w:rPr/>
      </w:pPr>
      <w:r>
        <w:rPr/>
        <w:t>“</w:t>
      </w:r>
      <w:r>
        <w:rPr>
          <w:rFonts w:ascii="Times New Roman" w:hAnsi="Times New Roman"/>
          <w:sz w:val="20"/>
          <w:u w:val="single"/>
        </w:rPr>
        <w:t>Clearstream</w:t>
      </w:r>
      <w:r>
        <w:rPr>
          <w:rFonts w:ascii="Times New Roman" w:hAnsi="Times New Roman"/>
          <w:sz w:val="20"/>
        </w:rPr>
        <w:t xml:space="preserve">” means Clearstream Banking, S.A. and any successor thereto. </w:t>
      </w:r>
    </w:p>
    <w:p>
      <w:pPr>
        <w:pStyle w:val="TextBody"/>
        <w:bidi w:val="0"/>
        <w:spacing w:before="240" w:after="0"/>
        <w:jc w:val="left"/>
        <w:rPr/>
      </w:pPr>
      <w:r>
        <w:rPr/>
        <w:t>“</w:t>
      </w:r>
      <w:r>
        <w:rPr>
          <w:rFonts w:ascii="Times New Roman" w:hAnsi="Times New Roman"/>
          <w:sz w:val="20"/>
          <w:u w:val="single"/>
        </w:rPr>
        <w:t>Company</w:t>
      </w:r>
      <w:r>
        <w:rPr>
          <w:rFonts w:ascii="Times New Roman" w:hAnsi="Times New Roman"/>
          <w:sz w:val="20"/>
        </w:rPr>
        <w:t xml:space="preserve">” has the meaning assigned to it in the preamble to this Indenture. All references to the Company shall include any and all successors thereto. </w:t>
      </w:r>
    </w:p>
    <w:p>
      <w:pPr>
        <w:pStyle w:val="TextBody"/>
        <w:bidi w:val="0"/>
        <w:spacing w:before="240" w:after="0"/>
        <w:jc w:val="left"/>
        <w:rPr/>
      </w:pPr>
      <w:r>
        <w:rPr/>
        <w:t>“</w:t>
      </w:r>
      <w:r>
        <w:rPr>
          <w:rFonts w:ascii="Times New Roman" w:hAnsi="Times New Roman"/>
          <w:sz w:val="20"/>
          <w:u w:val="single"/>
        </w:rPr>
        <w:t>Consolidated Net Tangible Assets</w:t>
      </w:r>
      <w:r>
        <w:rPr>
          <w:rFonts w:ascii="Times New Roman" w:hAnsi="Times New Roman"/>
          <w:sz w:val="20"/>
        </w:rPr>
        <w:t xml:space="preserve">” means, as of any date of determination, the sum of the amounts that would appear on a consolidated balance sheet of the Company and its Subsidiaries for the total assets (less accumulated depreciation and amortization, allowances for doubtful receivables, other applicable reserves and other properly deductible items) of the Company and its Subsidiaries, determined on a consolidated basis in accordance with GAAP, after giving effect to purchase accounting and after deducting therefrom, to the extent included in total assets, in each case as determined on a consolidated basis in accordance with GAAP (without duplication): (i) the aggregate amount of liabilities of the Company and its Subsidiaries that may properly be classified as current liabilities (including taxes accrued as estimated) (excluding the amount of those which are by their terms extendable or renewable at the option of the obligor to a date more than twelve months after the date as of which the amount is being determined); (ii) current Indebtedness and current maturities of long-term Indebtedness; (iii) minority interests in the Company’s Subsidiaries held by Persons other than the Company or a Wholly Owned Subsidiary of the Company; and (iv) unamortized debt discount and expenses and other unamortized deferred charges, goodwill, patents, trademarks, service marks, trade names, copyrights, licenses, organization or developmental expenses and other intangible items.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Default</w:t>
      </w:r>
      <w:r>
        <w:rPr>
          <w:rFonts w:ascii="Times New Roman" w:hAnsi="Times New Roman"/>
          <w:sz w:val="20"/>
        </w:rPr>
        <w:t xml:space="preserve">” means any event that is, or after notice or passage of time or both would be, an Event of Default. </w:t>
      </w:r>
    </w:p>
    <w:p>
      <w:pPr>
        <w:pStyle w:val="TextBody"/>
        <w:bidi w:val="0"/>
        <w:spacing w:before="240" w:after="0"/>
        <w:jc w:val="left"/>
        <w:rPr/>
      </w:pPr>
      <w:r>
        <w:rPr/>
        <w:t>“</w:t>
      </w:r>
      <w:r>
        <w:rPr>
          <w:rFonts w:ascii="Times New Roman" w:hAnsi="Times New Roman"/>
          <w:sz w:val="20"/>
          <w:u w:val="single"/>
        </w:rPr>
        <w:t>Definitive Note</w:t>
      </w:r>
      <w:r>
        <w:rPr>
          <w:rFonts w:ascii="Times New Roman" w:hAnsi="Times New Roman"/>
          <w:sz w:val="20"/>
        </w:rPr>
        <w:t xml:space="preserve">” means a certificated Note registered in the name of the Holder thereof and issued in accordance with Section 2.06 hereof, substantially in the form of Exhibit A hereto except that such Note shall not bear the Global Note Legend and shall not have the “Schedule of Exchanges of Interests in the Global Note” attached thereto. </w:t>
      </w:r>
    </w:p>
    <w:p>
      <w:pPr>
        <w:pStyle w:val="TextBody"/>
        <w:bidi w:val="0"/>
        <w:spacing w:before="240" w:after="0"/>
        <w:jc w:val="left"/>
        <w:rPr/>
      </w:pPr>
      <w:r>
        <w:rPr/>
        <w:t>“</w:t>
      </w:r>
      <w:r>
        <w:rPr>
          <w:rFonts w:ascii="Times New Roman" w:hAnsi="Times New Roman"/>
          <w:sz w:val="20"/>
          <w:u w:val="single"/>
        </w:rPr>
        <w:t>Depositary</w:t>
      </w:r>
      <w:r>
        <w:rPr>
          <w:rFonts w:ascii="Times New Roman" w:hAnsi="Times New Roman"/>
          <w:sz w:val="20"/>
        </w:rPr>
        <w:t xml:space="preserve">” means, with respect to the Notes issuable or issued in whole or in part in global form, the Person specified in Section 2.03 hereof as the Depositary with respect to the Notes, and any and all successors thereto appointed as depositary hereunder and having become such pursuant to the applicable provision of this Indenture. </w:t>
      </w:r>
    </w:p>
    <w:p>
      <w:pPr>
        <w:pStyle w:val="TextBody"/>
        <w:bidi w:val="0"/>
        <w:spacing w:before="240" w:after="0"/>
        <w:jc w:val="left"/>
        <w:rPr/>
      </w:pPr>
      <w:r>
        <w:rPr/>
        <w:t>“</w:t>
      </w:r>
      <w:r>
        <w:rPr>
          <w:rFonts w:ascii="Times New Roman" w:hAnsi="Times New Roman"/>
          <w:sz w:val="20"/>
          <w:u w:val="single"/>
        </w:rPr>
        <w:t>Euroclear</w:t>
      </w:r>
      <w:r>
        <w:rPr>
          <w:rFonts w:ascii="Times New Roman" w:hAnsi="Times New Roman"/>
          <w:sz w:val="20"/>
        </w:rPr>
        <w:t xml:space="preserve">” means Euroclear Bank, S.A./N.V., as operator of the Euroclear system, and any successor thereto. </w:t>
      </w:r>
    </w:p>
    <w:p>
      <w:pPr>
        <w:pStyle w:val="TextBody"/>
        <w:bidi w:val="0"/>
        <w:spacing w:before="240" w:after="0"/>
        <w:jc w:val="left"/>
        <w:rPr/>
      </w:pPr>
      <w:r>
        <w:rPr/>
        <w:t>“</w:t>
      </w:r>
      <w:r>
        <w:rPr>
          <w:rFonts w:ascii="Times New Roman" w:hAnsi="Times New Roman"/>
          <w:sz w:val="20"/>
          <w:u w:val="single"/>
        </w:rPr>
        <w:t>Exchange Act</w:t>
      </w:r>
      <w:r>
        <w:rPr>
          <w:rFonts w:ascii="Times New Roman" w:hAnsi="Times New Roman"/>
          <w:sz w:val="20"/>
        </w:rPr>
        <w:t xml:space="preserve">” means the United States Securities Exchange Act of 1934, as amended. </w:t>
      </w:r>
    </w:p>
    <w:p>
      <w:pPr>
        <w:pStyle w:val="TextBody"/>
        <w:bidi w:val="0"/>
        <w:spacing w:before="240" w:after="0"/>
        <w:jc w:val="left"/>
        <w:rPr/>
      </w:pPr>
      <w:r>
        <w:rPr/>
        <w:t>“</w:t>
      </w:r>
      <w:r>
        <w:rPr>
          <w:rFonts w:ascii="Times New Roman" w:hAnsi="Times New Roman"/>
          <w:sz w:val="20"/>
          <w:u w:val="single"/>
        </w:rPr>
        <w:t>Existing Stockholders</w:t>
      </w:r>
      <w:r>
        <w:rPr>
          <w:rFonts w:ascii="Times New Roman" w:hAnsi="Times New Roman"/>
          <w:sz w:val="20"/>
        </w:rPr>
        <w:t xml:space="preserve">” means (a) Jorge Mas, Jose R. Mas and any spouse or lineal descendant of Jorge Mas or Jose R. Mas or any spouse of any such lineal descendant and (b) any trust, corporation, partnership or other entity, the beneficiaries, stockholders, partners, owners or Persons beneficially holding an 80% or more controlling interest of which consist of the Persons referred to in clause (a). </w:t>
      </w:r>
    </w:p>
    <w:p>
      <w:pPr>
        <w:pStyle w:val="TextBody"/>
        <w:bidi w:val="0"/>
        <w:spacing w:before="240" w:after="0"/>
        <w:jc w:val="left"/>
        <w:rPr/>
      </w:pPr>
      <w:r>
        <w:rPr/>
        <w:t>“</w:t>
      </w:r>
      <w:r>
        <w:rPr>
          <w:rFonts w:ascii="Times New Roman" w:hAnsi="Times New Roman"/>
          <w:sz w:val="20"/>
          <w:u w:val="single"/>
        </w:rPr>
        <w:t>Finance Lease Obligation</w:t>
      </w:r>
      <w:r>
        <w:rPr>
          <w:rFonts w:ascii="Times New Roman" w:hAnsi="Times New Roman"/>
          <w:sz w:val="20"/>
        </w:rPr>
        <w:t xml:space="preserve">” means an obligation that is required to be accounted for as a finance lease (and, for the avoidance of doubt, not an operating lease) for financial reporting purposes in accordance with GAAP. At the time any determination thereof is to be made, the amount of the liability in respect of a finance lease would be the amount required to be reflected as a liability on the balance sheet (excluding the footnotes thereto) in accordance with GAAP. </w:t>
      </w:r>
    </w:p>
    <w:p>
      <w:pPr>
        <w:pStyle w:val="TextBody"/>
        <w:bidi w:val="0"/>
        <w:spacing w:before="240" w:after="0"/>
        <w:jc w:val="left"/>
        <w:rPr/>
      </w:pPr>
      <w:r>
        <w:rPr/>
        <w:t>“</w:t>
      </w:r>
      <w:r>
        <w:rPr>
          <w:rFonts w:ascii="Times New Roman" w:hAnsi="Times New Roman"/>
          <w:sz w:val="20"/>
          <w:u w:val="single"/>
        </w:rPr>
        <w:t>GAAP</w:t>
      </w:r>
      <w:r>
        <w:rPr>
          <w:rFonts w:ascii="Times New Roman" w:hAnsi="Times New Roman"/>
          <w:sz w:val="20"/>
        </w:rPr>
        <w:t xml:space="preserve">” means generally accepted accounting principles in the United States as in effect as of the Issue Date, including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based on GAAP contained in this Indenture will be computed in conformity with GAAP consistently applied. </w:t>
      </w:r>
    </w:p>
    <w:p>
      <w:pPr>
        <w:pStyle w:val="TextBody"/>
        <w:bidi w:val="0"/>
        <w:spacing w:before="240" w:after="0"/>
        <w:jc w:val="left"/>
        <w:rPr/>
      </w:pPr>
      <w:r>
        <w:rPr/>
        <w:t>“</w:t>
      </w:r>
      <w:r>
        <w:rPr>
          <w:rFonts w:ascii="Times New Roman" w:hAnsi="Times New Roman"/>
          <w:sz w:val="20"/>
          <w:u w:val="single"/>
        </w:rPr>
        <w:t>Global Note Le</w:t>
      </w:r>
      <w:r>
        <w:rPr>
          <w:rFonts w:ascii="Times New Roman" w:hAnsi="Times New Roman"/>
          <w:sz w:val="20"/>
        </w:rPr>
        <w:t>g</w:t>
      </w:r>
      <w:r>
        <w:rPr>
          <w:rFonts w:ascii="Times New Roman" w:hAnsi="Times New Roman"/>
          <w:sz w:val="20"/>
          <w:u w:val="single"/>
        </w:rPr>
        <w:t>end</w:t>
      </w:r>
      <w:r>
        <w:rPr>
          <w:rFonts w:ascii="Times New Roman" w:hAnsi="Times New Roman"/>
          <w:sz w:val="20"/>
        </w:rPr>
        <w:t xml:space="preserve">” means the legend set forth in Section 2.06(f) hereof, which is required to be placed on all Global Notes issued under this Indenture. </w:t>
      </w:r>
    </w:p>
    <w:p>
      <w:pPr>
        <w:pStyle w:val="TextBody"/>
        <w:bidi w:val="0"/>
        <w:spacing w:before="240" w:after="0"/>
        <w:jc w:val="left"/>
        <w:rPr/>
      </w:pPr>
      <w:r>
        <w:rPr/>
        <w:t>“</w:t>
      </w:r>
      <w:r>
        <w:rPr>
          <w:rFonts w:ascii="Times New Roman" w:hAnsi="Times New Roman"/>
          <w:sz w:val="20"/>
          <w:u w:val="single"/>
        </w:rPr>
        <w:t>Global Notes</w:t>
      </w:r>
      <w:r>
        <w:rPr>
          <w:rFonts w:ascii="Times New Roman" w:hAnsi="Times New Roman"/>
          <w:sz w:val="20"/>
        </w:rPr>
        <w:t xml:space="preserve">” means, individually and collectively, each of the global notes deposited with or on behalf of and registered in the name of the Depositary or its nominee, substantially in the form of Exhibit A hereto and that bears the Global Note Legend and that has the “Schedule of Exchanges of Interests in the Global Note” attached thereto, issued in accordance with Section 2.01 or 2.06(d)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Henkels &amp; McCoy Property</w:t>
      </w:r>
      <w:r>
        <w:rPr>
          <w:rFonts w:ascii="Times New Roman" w:hAnsi="Times New Roman"/>
          <w:sz w:val="20"/>
        </w:rPr>
        <w:t xml:space="preserve">” means those certain properties located at 2840 Fiscus Street, Pomona, California 91766 and 985 Jolly Road, Blue Bell, Pennsylvania 19422, including any improvements now or hereafter located thereon. </w:t>
      </w:r>
    </w:p>
    <w:p>
      <w:pPr>
        <w:pStyle w:val="TextBody"/>
        <w:bidi w:val="0"/>
        <w:spacing w:before="240" w:after="0"/>
        <w:jc w:val="left"/>
        <w:rPr/>
      </w:pPr>
      <w:r>
        <w:rPr/>
        <w:t>“</w:t>
      </w:r>
      <w:r>
        <w:rPr>
          <w:rFonts w:ascii="Times New Roman" w:hAnsi="Times New Roman"/>
          <w:sz w:val="20"/>
          <w:u w:val="single"/>
        </w:rPr>
        <w:t>Holding Company</w:t>
      </w:r>
      <w:r>
        <w:rPr>
          <w:rFonts w:ascii="Times New Roman" w:hAnsi="Times New Roman"/>
          <w:sz w:val="20"/>
        </w:rPr>
        <w:t xml:space="preserve">” means any Person so long as such Person directly or indirectly holds 100% of the total voting power of the Voting Stock of the Company, and at the time such Person acquired such voting power, no Person and no “group” (within the meaning of Section 13(d)(3) or Section 14(d)(2) of the Exchange Act, or any successor provision), including any such group acting for the purpose of acquiring, holding or disposing of securities (within the meaning of Rule 13d-5(b)(1) under the Exchange Act) (other than any Permitted Holder), shall have beneficial ownership (within the meaning of Rule 13d-3 under the Exchange Act, or any successor provision), directly or indirectly, of more than 50% of the total voting power of the Voting Stock of such Person. </w:t>
      </w:r>
    </w:p>
    <w:p>
      <w:pPr>
        <w:pStyle w:val="TextBody"/>
        <w:bidi w:val="0"/>
        <w:spacing w:before="240" w:after="0"/>
        <w:jc w:val="left"/>
        <w:rPr/>
      </w:pPr>
      <w:r>
        <w:rPr/>
        <w:t>“</w:t>
      </w:r>
      <w:r>
        <w:rPr>
          <w:rFonts w:ascii="Times New Roman" w:hAnsi="Times New Roman"/>
          <w:sz w:val="20"/>
          <w:u w:val="single"/>
        </w:rPr>
        <w:t>Initial Notes</w:t>
      </w:r>
      <w:r>
        <w:rPr>
          <w:rFonts w:ascii="Times New Roman" w:hAnsi="Times New Roman"/>
          <w:sz w:val="20"/>
        </w:rPr>
        <w:t xml:space="preserve">” has the meaning assigned to it in the preamble to this Indenture. </w:t>
      </w:r>
    </w:p>
    <w:p>
      <w:pPr>
        <w:pStyle w:val="TextBody"/>
        <w:bidi w:val="0"/>
        <w:spacing w:before="240" w:after="0"/>
        <w:jc w:val="left"/>
        <w:rPr/>
      </w:pPr>
      <w:r>
        <w:rPr/>
        <w:t>“</w:t>
      </w:r>
      <w:r>
        <w:rPr>
          <w:rFonts w:ascii="Times New Roman" w:hAnsi="Times New Roman"/>
          <w:sz w:val="20"/>
          <w:u w:val="single"/>
        </w:rPr>
        <w:t>Issue Date</w:t>
      </w:r>
      <w:r>
        <w:rPr>
          <w:rFonts w:ascii="Times New Roman" w:hAnsi="Times New Roman"/>
          <w:sz w:val="20"/>
        </w:rPr>
        <w:t xml:space="preserve">” means August 17, 2026. </w:t>
      </w:r>
    </w:p>
    <w:p>
      <w:pPr>
        <w:pStyle w:val="TextBody"/>
        <w:bidi w:val="0"/>
        <w:spacing w:before="240" w:after="0"/>
        <w:jc w:val="left"/>
        <w:rPr/>
      </w:pPr>
      <w:r>
        <w:rPr/>
        <w:t>“</w:t>
      </w:r>
      <w:r>
        <w:rPr>
          <w:rFonts w:ascii="Times New Roman" w:hAnsi="Times New Roman"/>
          <w:sz w:val="20"/>
          <w:u w:val="single"/>
        </w:rPr>
        <w:t>Interest Payment Date</w:t>
      </w:r>
      <w:r>
        <w:rPr>
          <w:rFonts w:ascii="Times New Roman" w:hAnsi="Times New Roman"/>
          <w:sz w:val="20"/>
        </w:rPr>
        <w:t xml:space="preserve">” means March 30 and September 30 of each year, commencing on March 30, 2027. </w:t>
      </w:r>
    </w:p>
    <w:p>
      <w:pPr>
        <w:pStyle w:val="TextBody"/>
        <w:bidi w:val="0"/>
        <w:spacing w:before="240" w:after="0"/>
        <w:jc w:val="left"/>
        <w:rPr/>
      </w:pPr>
      <w:r>
        <w:rPr/>
        <w:t>“</w:t>
      </w:r>
      <w:r>
        <w:rPr>
          <w:rFonts w:ascii="Times New Roman" w:hAnsi="Times New Roman"/>
          <w:sz w:val="20"/>
          <w:u w:val="single"/>
        </w:rPr>
        <w:t>Investment Grade</w:t>
      </w:r>
      <w:r>
        <w:rPr>
          <w:rFonts w:ascii="Times New Roman" w:hAnsi="Times New Roman"/>
          <w:sz w:val="20"/>
        </w:rPr>
        <w:t xml:space="preserve">” means a rating of Baa3 or better by Moody’s (or its equivalent under any successor rating category of Moody’s), a rating of BBB– or better by S&amp;P (or its equivalent under any successor rating category of S&amp;P) and the equivalent investment grade credit rating from any replacement rating agency or rating agencies selected by us under the circumstances permitting us to select a replacement agency and in the manner for selecting a replacement agency, in each case as set forth in the definition of “Rating Agencies.”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means any mortgage, pledge, security interest, encumbrance, lien or charge of any kind (including any conditional sale or other title retention agreement or lease in the nature thereof). </w:t>
      </w:r>
    </w:p>
    <w:p>
      <w:pPr>
        <w:pStyle w:val="TextBody"/>
        <w:bidi w:val="0"/>
        <w:spacing w:before="240" w:after="0"/>
        <w:jc w:val="left"/>
        <w:rPr/>
      </w:pPr>
      <w:r>
        <w:rPr/>
        <w:t>“</w:t>
      </w:r>
      <w:r>
        <w:rPr>
          <w:rFonts w:ascii="Times New Roman" w:hAnsi="Times New Roman"/>
          <w:sz w:val="20"/>
          <w:u w:val="single"/>
        </w:rPr>
        <w:t>Management Stockholders</w:t>
      </w:r>
      <w:r>
        <w:rPr>
          <w:rFonts w:ascii="Times New Roman" w:hAnsi="Times New Roman"/>
          <w:sz w:val="20"/>
        </w:rPr>
        <w:t xml:space="preserve">” means the members of management of the Company (or any Parent Entity) or its Subsidiaries who are holders of Capital Stock of the Company or of any Parent Entity on the Issue Date. </w:t>
      </w:r>
    </w:p>
    <w:p>
      <w:pPr>
        <w:pStyle w:val="TextBody"/>
        <w:bidi w:val="0"/>
        <w:spacing w:before="240" w:after="0"/>
        <w:jc w:val="left"/>
        <w:rPr/>
      </w:pPr>
      <w:r>
        <w:rPr/>
        <w:t>“</w:t>
      </w:r>
      <w:r>
        <w:rPr>
          <w:rFonts w:ascii="Times New Roman" w:hAnsi="Times New Roman"/>
          <w:sz w:val="20"/>
          <w:u w:val="single"/>
        </w:rPr>
        <w:t>Maturity Date</w:t>
      </w:r>
      <w:r>
        <w:rPr>
          <w:rFonts w:ascii="Times New Roman" w:hAnsi="Times New Roman"/>
          <w:sz w:val="20"/>
        </w:rPr>
        <w:t xml:space="preserve">” means September 30, 2036. </w:t>
      </w:r>
    </w:p>
    <w:p>
      <w:pPr>
        <w:pStyle w:val="TextBody"/>
        <w:bidi w:val="0"/>
        <w:spacing w:before="240" w:after="0"/>
        <w:jc w:val="left"/>
        <w:rPr/>
      </w:pPr>
      <w:r>
        <w:rPr/>
        <w:t>“</w:t>
      </w:r>
      <w:r>
        <w:rPr>
          <w:rFonts w:ascii="Times New Roman" w:hAnsi="Times New Roman"/>
          <w:sz w:val="20"/>
          <w:u w:val="single"/>
        </w:rPr>
        <w:t>Moody’s</w:t>
      </w:r>
      <w:r>
        <w:rPr>
          <w:rFonts w:ascii="Times New Roman" w:hAnsi="Times New Roman"/>
          <w:sz w:val="20"/>
        </w:rPr>
        <w:t xml:space="preserve">” means Moody’s Investors Service, Inc., and any successor to its rating agency business. </w:t>
      </w:r>
    </w:p>
    <w:p>
      <w:pPr>
        <w:pStyle w:val="TextBody"/>
        <w:bidi w:val="0"/>
        <w:spacing w:before="240" w:after="0"/>
        <w:jc w:val="left"/>
        <w:rPr/>
      </w:pPr>
      <w:r>
        <w:rPr/>
        <w:t>“</w:t>
      </w:r>
      <w:r>
        <w:rPr>
          <w:rFonts w:ascii="Times New Roman" w:hAnsi="Times New Roman"/>
          <w:sz w:val="20"/>
          <w:u w:val="single"/>
        </w:rPr>
        <w:t>Net Amount of Rent</w:t>
      </w:r>
      <w:r>
        <w:rPr>
          <w:rFonts w:ascii="Times New Roman" w:hAnsi="Times New Roman"/>
          <w:sz w:val="20"/>
        </w:rPr>
        <w:t xml:space="preserve">” as to any lease for any period means the aggregate amount of rent payable by the lessee with respect to such period after excluding amounts required to be paid on account of maintenance and repairs, insurance, taxes, assessments, water rates and similar charges. In the case of any lease that is terminable by the lessee upon the payment of a penalty, such net amount shall also include the amount of such penalty, but no rent shall be considered as payable under such lease subsequent to the first date upon which it may be so terminated.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Notes</w:t>
      </w:r>
      <w:r>
        <w:rPr>
          <w:rFonts w:ascii="Times New Roman" w:hAnsi="Times New Roman"/>
          <w:sz w:val="20"/>
        </w:rPr>
        <w:t xml:space="preserve">” means (a) the Initial Notes and (b) any Additional Notes that may be issued after the date hereof in accordance with this Indenture. The Initial Notes and any Additional Notes shall be treated as a single class for all purposes under this Indenture, and unless the context otherwise requires, all references to the Notes shall include the Initial Notes and any Additional Notes. </w:t>
      </w:r>
    </w:p>
    <w:p>
      <w:pPr>
        <w:pStyle w:val="TextBody"/>
        <w:bidi w:val="0"/>
        <w:spacing w:before="240" w:after="0"/>
        <w:jc w:val="left"/>
        <w:rPr/>
      </w:pPr>
      <w:r>
        <w:rPr/>
        <w:t>“</w:t>
      </w:r>
      <w:r>
        <w:rPr>
          <w:rFonts w:ascii="Times New Roman" w:hAnsi="Times New Roman"/>
          <w:sz w:val="20"/>
          <w:u w:val="single"/>
        </w:rPr>
        <w:t>Officer</w:t>
      </w:r>
      <w:r>
        <w:rPr>
          <w:rFonts w:ascii="Times New Roman" w:hAnsi="Times New Roman"/>
          <w:sz w:val="20"/>
        </w:rPr>
        <w:t xml:space="preserve">” means, with respect to any Person, the Chairman of the Board, the Chief Executive Officer, the President, any Vice President, the Chief Financial Officer, the Controller, the Treasurer or the Secretary of such Person. </w:t>
      </w:r>
    </w:p>
    <w:p>
      <w:pPr>
        <w:pStyle w:val="TextBody"/>
        <w:bidi w:val="0"/>
        <w:spacing w:before="240" w:after="0"/>
        <w:jc w:val="left"/>
        <w:rPr/>
      </w:pPr>
      <w:r>
        <w:rPr/>
        <w:t>“</w:t>
      </w:r>
      <w:r>
        <w:rPr>
          <w:rFonts w:ascii="Times New Roman" w:hAnsi="Times New Roman"/>
          <w:sz w:val="20"/>
          <w:u w:val="single"/>
        </w:rPr>
        <w:t>Officers’ Certificate</w:t>
      </w:r>
      <w:r>
        <w:rPr>
          <w:rFonts w:ascii="Times New Roman" w:hAnsi="Times New Roman"/>
          <w:sz w:val="20"/>
        </w:rPr>
        <w:t xml:space="preserve">” means a certificate signed by two Officers of the Company. One of the officers executing an Officers’ Certificate in accordance with Section 4.04 hereof shall be the Chief Executive Officer, Chief Financial Officer or Chief Operating Officer of the Company. </w:t>
      </w:r>
    </w:p>
    <w:p>
      <w:pPr>
        <w:pStyle w:val="TextBody"/>
        <w:bidi w:val="0"/>
        <w:spacing w:before="240" w:after="0"/>
        <w:jc w:val="left"/>
        <w:rPr/>
      </w:pPr>
      <w:r>
        <w:rPr/>
        <w:t>“</w:t>
      </w:r>
      <w:r>
        <w:rPr>
          <w:rFonts w:ascii="Times New Roman" w:hAnsi="Times New Roman"/>
          <w:sz w:val="20"/>
          <w:u w:val="single"/>
        </w:rPr>
        <w:t>Opinion of Counsel</w:t>
      </w:r>
      <w:r>
        <w:rPr>
          <w:rFonts w:ascii="Times New Roman" w:hAnsi="Times New Roman"/>
          <w:sz w:val="20"/>
        </w:rPr>
        <w:t xml:space="preserve">” means an opinion from legal counsel that meets the requirements of Section 13.05 hereof. The counsel may be an employee of or counsel to the Company or any Subsidiary of the Company. </w:t>
      </w:r>
    </w:p>
    <w:p>
      <w:pPr>
        <w:pStyle w:val="TextBody"/>
        <w:bidi w:val="0"/>
        <w:spacing w:before="240" w:after="0"/>
        <w:jc w:val="left"/>
        <w:rPr/>
      </w:pPr>
      <w:r>
        <w:rPr/>
        <w:t>“</w:t>
      </w:r>
      <w:r>
        <w:rPr>
          <w:rFonts w:ascii="Times New Roman" w:hAnsi="Times New Roman"/>
          <w:sz w:val="20"/>
          <w:u w:val="single"/>
        </w:rPr>
        <w:t>Parent Entity</w:t>
      </w:r>
      <w:r>
        <w:rPr>
          <w:rFonts w:ascii="Times New Roman" w:hAnsi="Times New Roman"/>
          <w:sz w:val="20"/>
        </w:rPr>
        <w:t xml:space="preserve">” means any direct or indirect parent of the Company. </w:t>
      </w:r>
    </w:p>
    <w:p>
      <w:pPr>
        <w:pStyle w:val="TextBody"/>
        <w:bidi w:val="0"/>
        <w:spacing w:before="240" w:after="0"/>
        <w:jc w:val="left"/>
        <w:rPr/>
      </w:pPr>
      <w:r>
        <w:rPr/>
        <w:t>“</w:t>
      </w:r>
      <w:r>
        <w:rPr>
          <w:rFonts w:ascii="Times New Roman" w:hAnsi="Times New Roman"/>
          <w:sz w:val="20"/>
          <w:u w:val="single"/>
        </w:rPr>
        <w:t>Participant</w:t>
      </w:r>
      <w:r>
        <w:rPr>
          <w:rFonts w:ascii="Times New Roman" w:hAnsi="Times New Roman"/>
          <w:sz w:val="20"/>
        </w:rPr>
        <w:t xml:space="preserve">” means, with respect to the Depositary, Euroclear or Clearstream, a Person who has an account with the Depositary, Euroclear or Clearstream, respectively (and, with respect to DTC, shall include Euroclear and Clearstream). </w:t>
      </w:r>
    </w:p>
    <w:p>
      <w:pPr>
        <w:pStyle w:val="TextBody"/>
        <w:bidi w:val="0"/>
        <w:spacing w:before="240" w:after="0"/>
        <w:jc w:val="left"/>
        <w:rPr/>
      </w:pPr>
      <w:r>
        <w:rPr/>
        <w:t>“</w:t>
      </w:r>
      <w:r>
        <w:rPr>
          <w:rFonts w:ascii="Times New Roman" w:hAnsi="Times New Roman"/>
          <w:sz w:val="20"/>
          <w:u w:val="single"/>
        </w:rPr>
        <w:t>Permitted Holders</w:t>
      </w:r>
      <w:r>
        <w:rPr>
          <w:rFonts w:ascii="Times New Roman" w:hAnsi="Times New Roman"/>
          <w:sz w:val="20"/>
        </w:rPr>
        <w:t xml:space="preserve">” means, collectively, (i) the Existing Stockholders, (ii) the Management Stockholders (including any Management Stockholders holding Capital Stock through an equityholding vehicle), (iii) any Person who is acting solely as an underwriter in connection with a public or private offering of Capital Stock of any Parent Entity or the Company, acting in such capacity, (iv) any “group” (within the meaning of Section 13(d)(3) or Section 14(d)(2) of the Exchange Act or any successor provision) of which any of the foregoing, any Holding Company, Permitted Plan or any Person or group that becomes a Permitted Holder specified in the last sentence of this definition are members and any member of such group; provided that, in the case of such group and without giving effect to the existence of such group or any other group, Persons referred to in subclauses (i) through (iii), collectively, have beneficial ownership of more than 50% of the total voting power of the Voting Stock of the Company or any Parent Entity held by such group, (v) any Holding Company and (vi) any Permitted Plan. Any Person or group whose acquisition of beneficial ownership constitutes a Change of Control in respect of which a Change of Control Offer is made or waived in accordance with the requirements of this Indenture, will thereafter, together with its Affiliates, constitute an additional Permitted Holder. </w:t>
      </w:r>
    </w:p>
    <w:p>
      <w:pPr>
        <w:pStyle w:val="TextBody"/>
        <w:bidi w:val="0"/>
        <w:spacing w:before="240" w:after="0"/>
        <w:jc w:val="left"/>
        <w:rPr/>
      </w:pPr>
      <w:r>
        <w:rPr/>
        <w:t>“</w:t>
      </w:r>
      <w:r>
        <w:rPr>
          <w:rFonts w:ascii="Times New Roman" w:hAnsi="Times New Roman"/>
          <w:sz w:val="20"/>
          <w:u w:val="single"/>
        </w:rPr>
        <w:t>Permitted Plan</w:t>
      </w:r>
      <w:r>
        <w:rPr>
          <w:rFonts w:ascii="Times New Roman" w:hAnsi="Times New Roman"/>
          <w:sz w:val="20"/>
        </w:rPr>
        <w:t xml:space="preserve">” means any employee benefits plan of the Company or any of its Affiliates and any Person acting in its capacity as trustee, agent or other fiduciary or administrator of any such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Person</w:t>
      </w:r>
      <w:r>
        <w:rPr>
          <w:rFonts w:ascii="Times New Roman" w:hAnsi="Times New Roman"/>
          <w:sz w:val="20"/>
        </w:rPr>
        <w:t xml:space="preserve">” means any individual, corporation, partnership, limited liability company, joint venture, association, joint-stock company, trust, unincorporated organization, government or any agency or political subdivision thereof or any other entity. </w:t>
      </w:r>
    </w:p>
    <w:p>
      <w:pPr>
        <w:pStyle w:val="TextBody"/>
        <w:bidi w:val="0"/>
        <w:spacing w:before="240" w:after="0"/>
        <w:jc w:val="left"/>
        <w:rPr/>
      </w:pPr>
      <w:r>
        <w:rPr/>
        <w:t>“</w:t>
      </w:r>
      <w:r>
        <w:rPr>
          <w:rFonts w:ascii="Times New Roman" w:hAnsi="Times New Roman"/>
          <w:sz w:val="20"/>
          <w:u w:val="single"/>
        </w:rPr>
        <w:t>Principal Property</w:t>
      </w:r>
      <w:r>
        <w:rPr>
          <w:rFonts w:ascii="Times New Roman" w:hAnsi="Times New Roman"/>
          <w:sz w:val="20"/>
        </w:rPr>
        <w:t xml:space="preserve">” means any manufacturing plant or other similar facility (including Production Machinery and Equipment located thereon), corporate office, equipment yard, maintenance facility, training facility or warehouse owned by the Company or any Subsidiary, which is located within the United States (excluding its territories and possessions), in each case having a net book value in excess of 1% of Consolidated Net Tangible Assets other than (i) any such plant, facility or property which the Company’s Board of Directors determines in good faith is not of material importance to the total business conducted, or assets owned, by the Company and its Subsidiaries as an entirety or (ii) any portion of any such plant, facility or property which the Company’s Board of Directors determines in good faith not to be of material importance to the use or operation thereof; </w:t>
      </w:r>
      <w:r>
        <w:rPr>
          <w:rFonts w:ascii="Times New Roman" w:hAnsi="Times New Roman"/>
          <w:i/>
          <w:sz w:val="20"/>
        </w:rPr>
        <w:t>provided</w:t>
      </w:r>
      <w:r>
        <w:rPr>
          <w:rFonts w:ascii="Times New Roman" w:hAnsi="Times New Roman"/>
          <w:sz w:val="20"/>
        </w:rPr>
        <w:t xml:space="preserve"> that the term “Principal Property” shall not include any direct or indirect legal, beneficial or equitable interest in the Henkels &amp; McCoy Property. </w:t>
      </w:r>
    </w:p>
    <w:p>
      <w:pPr>
        <w:pStyle w:val="TextBody"/>
        <w:bidi w:val="0"/>
        <w:spacing w:before="240" w:after="0"/>
        <w:jc w:val="left"/>
        <w:rPr/>
      </w:pPr>
      <w:r>
        <w:rPr/>
        <w:t>“</w:t>
      </w:r>
      <w:r>
        <w:rPr>
          <w:rFonts w:ascii="Times New Roman" w:hAnsi="Times New Roman"/>
          <w:sz w:val="20"/>
          <w:u w:val="single"/>
        </w:rPr>
        <w:t>Production Machinery and Equipment</w:t>
      </w:r>
      <w:r>
        <w:rPr>
          <w:rFonts w:ascii="Times New Roman" w:hAnsi="Times New Roman"/>
          <w:sz w:val="20"/>
        </w:rPr>
        <w:t xml:space="preserve">” means production machinery and equipment in such Principal Property used directly in the production of the Company’s or any Subsidiary’s products. </w:t>
      </w:r>
    </w:p>
    <w:p>
      <w:pPr>
        <w:pStyle w:val="TextBody"/>
        <w:bidi w:val="0"/>
        <w:spacing w:before="240" w:after="0"/>
        <w:jc w:val="left"/>
        <w:rPr/>
      </w:pPr>
      <w:r>
        <w:rPr/>
        <w:t>“</w:t>
      </w:r>
      <w:r>
        <w:rPr>
          <w:rFonts w:ascii="Times New Roman" w:hAnsi="Times New Roman"/>
          <w:sz w:val="20"/>
          <w:u w:val="single"/>
        </w:rPr>
        <w:t>Prospectus Supplement</w:t>
      </w:r>
      <w:r>
        <w:rPr>
          <w:rFonts w:ascii="Times New Roman" w:hAnsi="Times New Roman"/>
          <w:sz w:val="20"/>
        </w:rPr>
        <w:t xml:space="preserve">” means that certain prospectus supplement, dated August 6, 2026, relating to the offering of the Initial Notes issued on the Issue Date. </w:t>
      </w:r>
    </w:p>
    <w:p>
      <w:pPr>
        <w:pStyle w:val="TextBody"/>
        <w:bidi w:val="0"/>
        <w:spacing w:before="240" w:after="0"/>
        <w:jc w:val="left"/>
        <w:rPr/>
      </w:pPr>
      <w:r>
        <w:rPr/>
        <w:t>“</w:t>
      </w:r>
      <w:r>
        <w:rPr>
          <w:rFonts w:ascii="Times New Roman" w:hAnsi="Times New Roman"/>
          <w:sz w:val="20"/>
          <w:u w:val="single"/>
        </w:rPr>
        <w:t>Rating Agencies</w:t>
      </w:r>
      <w:r>
        <w:rPr>
          <w:rFonts w:ascii="Times New Roman" w:hAnsi="Times New Roman"/>
          <w:sz w:val="20"/>
        </w:rPr>
        <w:t xml:space="preserve">” means Moody’s and S&amp;P; </w:t>
      </w:r>
      <w:r>
        <w:rPr>
          <w:rFonts w:ascii="Times New Roman" w:hAnsi="Times New Roman"/>
          <w:i/>
          <w:sz w:val="20"/>
        </w:rPr>
        <w:t xml:space="preserve">provided </w:t>
      </w:r>
      <w:r>
        <w:rPr>
          <w:rFonts w:ascii="Times New Roman" w:hAnsi="Times New Roman"/>
          <w:sz w:val="20"/>
        </w:rPr>
        <w:t>that if any of Moody’s or S&amp;P ceases to rate the notes or fails to make a rating of the notes publicly available for reasons outside of the Company’s control, the Company may appoint another “nationally recognized statistical rating organization” within the meaning of Section 3(a)(62) of the Exchange Act as a replacement for such Rating Agency with respect to the Notes (any such replacement Rating Agency, a “</w:t>
      </w:r>
      <w:r>
        <w:rPr>
          <w:rFonts w:ascii="Times New Roman" w:hAnsi="Times New Roman"/>
          <w:sz w:val="20"/>
          <w:u w:val="single"/>
        </w:rPr>
        <w:t>Substitute Rating Agency</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Record Date</w:t>
      </w:r>
      <w:r>
        <w:rPr>
          <w:rFonts w:ascii="Times New Roman" w:hAnsi="Times New Roman"/>
          <w:sz w:val="20"/>
        </w:rPr>
        <w:t xml:space="preserve">” for the interest payable on any applicable Interest Payment Date means March 15 and September 15 immediately preceding such Interest Payment Date (whether or not a Business Day). </w:t>
      </w:r>
    </w:p>
    <w:p>
      <w:pPr>
        <w:pStyle w:val="TextBody"/>
        <w:bidi w:val="0"/>
        <w:spacing w:before="240" w:after="0"/>
        <w:jc w:val="left"/>
        <w:rPr/>
      </w:pPr>
      <w:r>
        <w:rPr/>
        <w:t>“</w:t>
      </w:r>
      <w:r>
        <w:rPr>
          <w:rFonts w:ascii="Times New Roman" w:hAnsi="Times New Roman"/>
          <w:sz w:val="20"/>
          <w:u w:val="single"/>
        </w:rPr>
        <w:t>Responsible Officer,</w:t>
      </w:r>
      <w:r>
        <w:rPr>
          <w:rFonts w:ascii="Times New Roman" w:hAnsi="Times New Roman"/>
          <w:sz w:val="20"/>
        </w:rPr>
        <w:t xml:space="preserve">” when used with respect to the Trustee, means any officer within the Corporate Trust Office of the Trustee (or any successor group of the Trustee) having direct responsibility for performing the Trustee’s duties under this Indenture and for the administration of this Indenture and also means, with respect to a particular corporate trust matter, any other officer of the Trustee (or any successor group of the Trustee) to whom such matter is referred because of such Person’s knowledge of and familiarity with the particular subject and who is directly responsible for performing the Trustee’s duties under this Indenture and for the administration of this Indenture. </w:t>
      </w:r>
    </w:p>
    <w:p>
      <w:pPr>
        <w:pStyle w:val="TextBody"/>
        <w:bidi w:val="0"/>
        <w:spacing w:before="240" w:after="0"/>
        <w:jc w:val="left"/>
        <w:rPr/>
      </w:pPr>
      <w:r>
        <w:rPr/>
        <w:t>“</w:t>
      </w:r>
      <w:r>
        <w:rPr>
          <w:rFonts w:ascii="Times New Roman" w:hAnsi="Times New Roman"/>
          <w:sz w:val="20"/>
          <w:u w:val="single"/>
        </w:rPr>
        <w:t>Restricted Subsidiary</w:t>
      </w:r>
      <w:r>
        <w:rPr>
          <w:rFonts w:ascii="Times New Roman" w:hAnsi="Times New Roman"/>
          <w:sz w:val="20"/>
        </w:rPr>
        <w:t xml:space="preserve">” means any Subsidiary of the Company, substantially all of the assets of which are located in the United States (excluding its territories and possessions) that at the time, directly or indirectly, through one or more Subsidiaries or in combination with one or more other Subsidiaries or the Company, owns a Principal Property;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 Subsidiary that transacts any substantial portion of its business and regularly maintains any substantial portion of its fixed assets outside of the United States (excluding its territories and possessions) shall not be deemed to be a “Restricted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S&amp;P</w:t>
      </w:r>
      <w:r>
        <w:rPr>
          <w:rFonts w:ascii="Times New Roman" w:hAnsi="Times New Roman"/>
          <w:sz w:val="20"/>
        </w:rPr>
        <w:t xml:space="preserve">” means S&amp;P Global Ratings, a division of S&amp;P Global Inc., and any successor to its rating agency business. </w:t>
      </w:r>
    </w:p>
    <w:p>
      <w:pPr>
        <w:pStyle w:val="TextBody"/>
        <w:bidi w:val="0"/>
        <w:spacing w:before="240" w:after="0"/>
        <w:jc w:val="left"/>
        <w:rPr/>
      </w:pPr>
      <w:r>
        <w:rPr/>
        <w:t>“</w:t>
      </w:r>
      <w:r>
        <w:rPr>
          <w:rFonts w:ascii="Times New Roman" w:hAnsi="Times New Roman"/>
          <w:sz w:val="20"/>
          <w:u w:val="single"/>
        </w:rPr>
        <w:t>Sale/Leaseback Transaction</w:t>
      </w:r>
      <w:r>
        <w:rPr>
          <w:rFonts w:ascii="Times New Roman" w:hAnsi="Times New Roman"/>
          <w:sz w:val="20"/>
        </w:rPr>
        <w:t xml:space="preserve">” means an arrangement relating to property owned on the date of issuance of the notes or thereafter acquired whereby the Company or any of its Restricted Subsidiaries transfers such property to a Person and the Company or any of its Restricted Subsidiaries subsequently leases such property from such Person other than (1) leases for a term, including renewals at the option of the lessee, of not more than three years, (2) leases between the Company and a Subsidiary or between Subsidiaries and (3) leases of a property executed by the time of, or within twelve months after the latest of, the acquisition, the completion of construction or improvement, or the commencement of commercial operation of such property. </w:t>
      </w:r>
    </w:p>
    <w:p>
      <w:pPr>
        <w:pStyle w:val="TextBody"/>
        <w:bidi w:val="0"/>
        <w:spacing w:before="240" w:after="0"/>
        <w:jc w:val="left"/>
        <w:rPr/>
      </w:pPr>
      <w:r>
        <w:rPr/>
        <w:t>“</w:t>
      </w:r>
      <w:r>
        <w:rPr>
          <w:rFonts w:ascii="Times New Roman" w:hAnsi="Times New Roman"/>
          <w:sz w:val="20"/>
          <w:u w:val="single"/>
        </w:rPr>
        <w:t>SEC</w:t>
      </w:r>
      <w:r>
        <w:rPr>
          <w:rFonts w:ascii="Times New Roman" w:hAnsi="Times New Roman"/>
          <w:sz w:val="20"/>
        </w:rPr>
        <w:t xml:space="preserve">” means the United States Securities and Exchange Commission or any successor agency. </w:t>
      </w:r>
    </w:p>
    <w:p>
      <w:pPr>
        <w:pStyle w:val="TextBody"/>
        <w:bidi w:val="0"/>
        <w:spacing w:before="240" w:after="0"/>
        <w:jc w:val="left"/>
        <w:rPr/>
      </w:pPr>
      <w:r>
        <w:rPr/>
        <w:t>“</w:t>
      </w:r>
      <w:r>
        <w:rPr>
          <w:rFonts w:ascii="Times New Roman" w:hAnsi="Times New Roman"/>
          <w:sz w:val="20"/>
          <w:u w:val="single"/>
        </w:rPr>
        <w:t>Securities Act</w:t>
      </w:r>
      <w:r>
        <w:rPr>
          <w:rFonts w:ascii="Times New Roman" w:hAnsi="Times New Roman"/>
          <w:sz w:val="20"/>
        </w:rPr>
        <w:t xml:space="preserve">” means the United States Securities Act of 1933, as amended. </w:t>
      </w:r>
    </w:p>
    <w:p>
      <w:pPr>
        <w:pStyle w:val="TextBody"/>
        <w:bidi w:val="0"/>
        <w:spacing w:before="240" w:after="0"/>
        <w:jc w:val="left"/>
        <w:rPr/>
      </w:pPr>
      <w:r>
        <w:rPr/>
        <w:t>“</w:t>
      </w:r>
      <w:r>
        <w:rPr>
          <w:rFonts w:ascii="Times New Roman" w:hAnsi="Times New Roman"/>
          <w:sz w:val="20"/>
          <w:u w:val="single"/>
        </w:rPr>
        <w:t>Significant Subsidiary</w:t>
      </w:r>
      <w:r>
        <w:rPr>
          <w:rFonts w:ascii="Times New Roman" w:hAnsi="Times New Roman"/>
          <w:sz w:val="20"/>
        </w:rPr>
        <w:t xml:space="preserve">” means, at any date of determination, any Restricted Subsidiary that, together with its Subsidiaries, (1) for the most recent fiscal year of the Company, accounted for more than 10% of the consolidated revenues of the Company and its Restricted Subsidiaries or (2) as of the end of such fiscal year, was the owner of more than 10% of the consolidated assets of the Company and its Restricted Subsidiaries, all as set forth on the most recently available consolidated financial statements of the Company for such fiscal year.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of any Person means any corporation, association, partnership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(i) such Person, (ii) such Person and one or more Subsidiaries of such Person or (iii) one or more Subsidiaries of such Person; provided, however, that any Person the accounts of which are not consolidated with those of the Company in its consolidated financial statements prepared in accordance with GAAP shall not be deemed to be a “Subsidiary” of the Company. </w:t>
      </w:r>
    </w:p>
    <w:p>
      <w:pPr>
        <w:pStyle w:val="TextBody"/>
        <w:bidi w:val="0"/>
        <w:spacing w:before="240" w:after="0"/>
        <w:jc w:val="left"/>
        <w:rPr/>
      </w:pPr>
      <w:r>
        <w:rPr/>
        <w:t>“</w:t>
      </w:r>
      <w:r>
        <w:rPr>
          <w:rFonts w:ascii="Times New Roman" w:hAnsi="Times New Roman"/>
          <w:sz w:val="20"/>
          <w:u w:val="single"/>
        </w:rPr>
        <w:t>TIA</w:t>
      </w:r>
      <w:r>
        <w:rPr>
          <w:rFonts w:ascii="Times New Roman" w:hAnsi="Times New Roman"/>
          <w:sz w:val="20"/>
        </w:rPr>
        <w:t xml:space="preserve">” means the Trust Indenture Act of 1939, as amended (15 U.S.C. §§ 77aaa-77bbbb). </w:t>
      </w:r>
    </w:p>
    <w:p>
      <w:pPr>
        <w:pStyle w:val="TextBody"/>
        <w:bidi w:val="0"/>
        <w:spacing w:before="240" w:after="0"/>
        <w:jc w:val="left"/>
        <w:rPr/>
      </w:pPr>
      <w:r>
        <w:rPr/>
        <w:t>“</w:t>
      </w:r>
      <w:r>
        <w:rPr>
          <w:rFonts w:ascii="Times New Roman" w:hAnsi="Times New Roman"/>
          <w:sz w:val="20"/>
          <w:u w:val="single"/>
        </w:rPr>
        <w:t>Treasury Rate</w:t>
      </w:r>
      <w:r>
        <w:rPr>
          <w:rFonts w:ascii="Times New Roman" w:hAnsi="Times New Roman"/>
          <w:sz w:val="20"/>
        </w:rPr>
        <w:t xml:space="preserve">” means, with respect to any redemption date, the yield determined by the Company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 xml:space="preserve">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designation or publication) (“</w:t>
      </w:r>
      <w:r>
        <w:rPr>
          <w:rFonts w:ascii="Times New Roman" w:hAnsi="Times New Roman"/>
          <w:sz w:val="20"/>
          <w:u w:val="single"/>
        </w:rPr>
        <w:t>H.15</w:t>
      </w:r>
      <w:r>
        <w:rPr>
          <w:rFonts w:ascii="Times New Roman" w:hAnsi="Times New Roman"/>
          <w:sz w:val="20"/>
        </w:rPr>
        <w:t>”) under the caption “U.S. government securities–Treasury constant maturities–Nominal” (or any successor caption or heading) (“</w:t>
      </w:r>
      <w:r>
        <w:rPr>
          <w:rFonts w:ascii="Times New Roman" w:hAnsi="Times New Roman"/>
          <w:sz w:val="20"/>
          <w:u w:val="single"/>
        </w:rPr>
        <w:t>H.15 TCM</w:t>
      </w:r>
      <w:r>
        <w:rPr>
          <w:rFonts w:ascii="Times New Roman" w:hAnsi="Times New Roman"/>
          <w:sz w:val="20"/>
        </w:rPr>
        <w:t>”). In determining the Treasury Rate, the Company shall select, as applicable: (1) the yield for the Treasury constant maturity on H.15 exactly equal to the period from the redemption date to the Par Call Date (the “</w:t>
      </w:r>
      <w:r>
        <w:rPr>
          <w:rFonts w:ascii="Times New Roman" w:hAnsi="Times New Roman"/>
          <w:sz w:val="20"/>
          <w:u w:val="single"/>
        </w:rPr>
        <w:t>Remaining Life</w:t>
      </w:r>
      <w:r>
        <w:rPr>
          <w:rFonts w:ascii="Times New Roman" w:hAnsi="Times New Roman"/>
          <w:sz w:val="20"/>
        </w:rPr>
        <w:t xml:space="preserve">”); or (2) if there is no such Treasury constant maturity on H.15 exactly equal to the Remaining Life, the two yields – one yield corresponding to the Treasury constant maturity on H.15 immediately shorter than the Remaining Life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the Remaining Life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pPr>
      <w:r>
        <w:rPr/>
        <w:t>“</w:t>
      </w:r>
      <w:r>
        <w:rPr>
          <w:rFonts w:ascii="Times New Roman" w:hAnsi="Times New Roman"/>
          <w:sz w:val="20"/>
          <w:u w:val="single"/>
        </w:rPr>
        <w:t>Trustee</w:t>
      </w:r>
      <w:r>
        <w:rPr>
          <w:rFonts w:ascii="Times New Roman" w:hAnsi="Times New Roman"/>
          <w:sz w:val="20"/>
        </w:rPr>
        <w:t xml:space="preserve">” means U.S. Bank Trust Company, National Association, a national banking association, until a successor replaces it in accordance with the applicable provisions of this Indenture and thereafter means the successor serving hereunder. </w:t>
      </w:r>
    </w:p>
    <w:p>
      <w:pPr>
        <w:pStyle w:val="TextBody"/>
        <w:bidi w:val="0"/>
        <w:spacing w:before="240" w:after="0"/>
        <w:jc w:val="left"/>
        <w:rPr/>
      </w:pPr>
      <w:r>
        <w:rPr/>
        <w:t>“</w:t>
      </w:r>
      <w:r>
        <w:rPr>
          <w:rFonts w:ascii="Times New Roman" w:hAnsi="Times New Roman"/>
          <w:sz w:val="20"/>
          <w:u w:val="single"/>
        </w:rPr>
        <w:t>U.S. Government Obli</w:t>
      </w:r>
      <w:r>
        <w:rPr>
          <w:rFonts w:ascii="Times New Roman" w:hAnsi="Times New Roman"/>
          <w:sz w:val="20"/>
        </w:rPr>
        <w:t>g</w:t>
      </w:r>
      <w:r>
        <w:rPr>
          <w:rFonts w:ascii="Times New Roman" w:hAnsi="Times New Roman"/>
          <w:sz w:val="20"/>
          <w:u w:val="single"/>
        </w:rPr>
        <w:t>ations</w:t>
      </w:r>
      <w:r>
        <w:rPr>
          <w:rFonts w:ascii="Times New Roman" w:hAnsi="Times New Roman"/>
          <w:sz w:val="20"/>
        </w:rPr>
        <w:t xml:space="preserve">” means securities that are (1) direct obligations of the United States of America for the payment of which its full faith and credit is pledged or (2) obligations of a Person controlled or supervised by and acting as an agency or instrumentality of the United States of America the payment of which is unconditionally guaranteed as a full faith and credit obligation by the United States of America, which, in either case, are not callable or redeemable at the option of the issuer thereof at any time prior to the Stated Maturity of the Notes, and shall also include a depository receipt issued by a bank or trust company as custodian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respect to any such U.S. Government Obligation or a specific payment of interest on or principal of any such U.S. Government Obligation held by such custodian for the account of the holder of a depository receipt; </w:t>
      </w:r>
      <w:r>
        <w:rPr>
          <w:rFonts w:ascii="Times New Roman" w:hAnsi="Times New Roman"/>
          <w:i/>
          <w:sz w:val="20"/>
        </w:rPr>
        <w:t xml:space="preserve">provided </w:t>
      </w:r>
      <w:r>
        <w:rPr>
          <w:rFonts w:ascii="Times New Roman" w:hAnsi="Times New Roman"/>
          <w:sz w:val="20"/>
        </w:rPr>
        <w:t xml:space="preserve">that (except as required by law) such custodian is not authorized to make any deduction from the amount payable to the holder of such depository receipt from any amount received by the custodian in respect of the U.S. Government Obligation or the specific payment of interest on or principal of the U.S. Government Obligation evidenced by such depository receipt. </w:t>
      </w:r>
    </w:p>
    <w:p>
      <w:pPr>
        <w:pStyle w:val="TextBody"/>
        <w:bidi w:val="0"/>
        <w:spacing w:before="240" w:after="0"/>
        <w:jc w:val="left"/>
        <w:rPr/>
      </w:pPr>
      <w:r>
        <w:rPr/>
        <w:t>“</w:t>
      </w:r>
      <w:r>
        <w:rPr>
          <w:rFonts w:ascii="Times New Roman" w:hAnsi="Times New Roman"/>
          <w:sz w:val="20"/>
          <w:u w:val="single"/>
        </w:rPr>
        <w:t>Voting Stock</w:t>
      </w:r>
      <w:r>
        <w:rPr>
          <w:rFonts w:ascii="Times New Roman" w:hAnsi="Times New Roman"/>
          <w:sz w:val="20"/>
        </w:rPr>
        <w:t xml:space="preserve">” of any specified Person as of any date means the Capital Stock of such Person of any class or kind ordinarily having the power to vote for the election of directors, managers or other voting members of the governing body of such Person. </w:t>
      </w:r>
    </w:p>
    <w:p>
      <w:pPr>
        <w:pStyle w:val="TextBody"/>
        <w:bidi w:val="0"/>
        <w:spacing w:before="240" w:after="0"/>
        <w:jc w:val="left"/>
        <w:rPr/>
      </w:pPr>
      <w:r>
        <w:rPr/>
        <w:t>“</w:t>
      </w:r>
      <w:r>
        <w:rPr>
          <w:rFonts w:ascii="Times New Roman" w:hAnsi="Times New Roman"/>
          <w:sz w:val="20"/>
          <w:u w:val="single"/>
        </w:rPr>
        <w:t>Wholl</w:t>
      </w:r>
      <w:r>
        <w:rPr>
          <w:rFonts w:ascii="Times New Roman" w:hAnsi="Times New Roman"/>
          <w:sz w:val="20"/>
        </w:rPr>
        <w:t>y</w:t>
      </w:r>
      <w:r>
        <w:rPr>
          <w:rFonts w:ascii="Times New Roman" w:hAnsi="Times New Roman"/>
          <w:sz w:val="20"/>
          <w:u w:val="single"/>
        </w:rPr>
        <w:t xml:space="preserve"> Owned</w:t>
      </w:r>
      <w:r>
        <w:rPr>
          <w:rFonts w:ascii="Times New Roman" w:hAnsi="Times New Roman"/>
          <w:sz w:val="20"/>
        </w:rPr>
        <w:t xml:space="preserve">” means, with respect to any Subsidiary of any Person, the ownership of all of the outstanding Capital Stock of such Subsidiary (other than any director’s qualifying shares or Investments by foreign nationals mandated by applicable law) by such Person or one or more Wholly Owned Subsidiaries of such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Other Definitions</w:t>
      </w:r>
      <w:r>
        <w:rPr>
          <w:rFonts w:ascii="Times New Roman" w:hAnsi="Times New Roman"/>
          <w:sz w:val="20"/>
        </w:rPr>
        <w:t xml:space="preserv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6767"/>
        <w:gridCol w:w="737"/>
        <w:gridCol w:w="1884"/>
      </w:tblGrid>
      <w:tr>
        <w:trPr/>
        <w:tc>
          <w:tcPr>
            <w:tcW w:w="6767" w:type="dxa"/>
            <w:tcBorders/>
            <w:vAlign w:val="center"/>
          </w:tcPr>
          <w:p>
            <w:pPr>
              <w:pStyle w:val="TableContents"/>
              <w:bidi w:val="0"/>
              <w:spacing w:before="0" w:after="283"/>
              <w:jc w:val="left"/>
              <w:rPr>
                <w:sz w:val="4"/>
                <w:szCs w:val="4"/>
              </w:rPr>
            </w:pPr>
            <w:r>
              <w:rPr>
                <w:sz w:val="4"/>
                <w:szCs w:val="4"/>
              </w:rPr>
            </w:r>
          </w:p>
        </w:tc>
        <w:tc>
          <w:tcPr>
            <w:tcW w:w="737" w:type="dxa"/>
            <w:tcBorders/>
            <w:vAlign w:val="bottom"/>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r>
      <w:tr>
        <w:trPr/>
        <w:tc>
          <w:tcPr>
            <w:tcW w:w="676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Term</w:t>
            </w:r>
          </w:p>
        </w:tc>
        <w:tc>
          <w:tcPr>
            <w:tcW w:w="737" w:type="dxa"/>
            <w:tcBorders/>
            <w:vAlign w:val="bottom"/>
          </w:tcPr>
          <w:p>
            <w:pPr>
              <w:pStyle w:val="TableContents"/>
              <w:bidi w:val="0"/>
              <w:spacing w:before="0" w:after="283"/>
              <w:jc w:val="left"/>
              <w:rPr/>
            </w:pPr>
            <w:r>
              <w:rPr/>
              <w:t>  </w:t>
            </w:r>
          </w:p>
        </w:tc>
        <w:tc>
          <w:tcPr>
            <w:tcW w:w="1884" w:type="dxa"/>
            <w:tcBorders>
              <w:bottom w:val="single" w:sz="8" w:space="0" w:color="000000"/>
            </w:tcBorders>
            <w:tcMar>
              <w:bottom w:w="28" w:type="dxa"/>
            </w:tcMar>
            <w:vAlign w:val="bottom"/>
          </w:tcPr>
          <w:p>
            <w:pPr>
              <w:pStyle w:val="TableContents"/>
              <w:bidi w:val="0"/>
              <w:spacing w:before="0" w:after="283"/>
              <w:jc w:val="center"/>
              <w:rPr>
                <w:b/>
              </w:rPr>
            </w:pPr>
            <w:r>
              <w:rPr>
                <w:b/>
              </w:rPr>
              <w:t>Defined in Section</w:t>
            </w:r>
          </w:p>
        </w:tc>
      </w:tr>
      <w:tr>
        <w:trPr/>
        <w:tc>
          <w:tcPr>
            <w:tcW w:w="6767" w:type="dxa"/>
            <w:tcBorders/>
          </w:tcPr>
          <w:p>
            <w:pPr>
              <w:pStyle w:val="TableContents"/>
              <w:bidi w:val="0"/>
              <w:spacing w:before="0" w:after="283"/>
              <w:jc w:val="left"/>
              <w:rPr>
                <w:u w:val="single"/>
              </w:rPr>
            </w:pPr>
            <w:r>
              <w:rPr>
                <w:u w:val="single"/>
              </w:rPr>
              <w:t>“</w:t>
            </w:r>
            <w:r>
              <w:rPr>
                <w:u w:val="single"/>
              </w:rPr>
              <w:t>Alternate Offer”</w:t>
            </w:r>
          </w:p>
        </w:tc>
        <w:tc>
          <w:tcPr>
            <w:tcW w:w="737" w:type="dxa"/>
            <w:tcBorders/>
            <w:vAlign w:val="bottom"/>
          </w:tcPr>
          <w:p>
            <w:pPr>
              <w:pStyle w:val="TableContents"/>
              <w:bidi w:val="0"/>
              <w:spacing w:before="0" w:after="283"/>
              <w:jc w:val="left"/>
              <w:rPr/>
            </w:pPr>
            <w:r>
              <w:rPr/>
              <w:t>  </w:t>
            </w:r>
          </w:p>
        </w:tc>
        <w:tc>
          <w:tcPr>
            <w:tcW w:w="1884" w:type="dxa"/>
            <w:tcBorders/>
            <w:vAlign w:val="bottom"/>
          </w:tcPr>
          <w:p>
            <w:pPr>
              <w:pStyle w:val="TableContents"/>
              <w:bidi w:val="0"/>
              <w:spacing w:before="0" w:after="283"/>
              <w:jc w:val="center"/>
              <w:rPr/>
            </w:pPr>
            <w:r>
              <w:rPr/>
              <w:t>4.07</w:t>
            </w:r>
          </w:p>
        </w:tc>
      </w:tr>
      <w:tr>
        <w:trPr/>
        <w:tc>
          <w:tcPr>
            <w:tcW w:w="6767" w:type="dxa"/>
            <w:tcBorders/>
          </w:tcPr>
          <w:p>
            <w:pPr>
              <w:pStyle w:val="TableContents"/>
              <w:bidi w:val="0"/>
              <w:spacing w:before="0" w:after="283"/>
              <w:jc w:val="left"/>
              <w:rPr>
                <w:u w:val="single"/>
              </w:rPr>
            </w:pPr>
            <w:r>
              <w:rPr>
                <w:u w:val="single"/>
              </w:rPr>
              <w:t>“</w:t>
            </w:r>
            <w:r>
              <w:rPr>
                <w:u w:val="single"/>
              </w:rPr>
              <w:t>Authentication Order”</w:t>
            </w:r>
          </w:p>
        </w:tc>
        <w:tc>
          <w:tcPr>
            <w:tcW w:w="737" w:type="dxa"/>
            <w:tcBorders/>
            <w:vAlign w:val="bottom"/>
          </w:tcPr>
          <w:p>
            <w:pPr>
              <w:pStyle w:val="TableContents"/>
              <w:bidi w:val="0"/>
              <w:spacing w:before="0" w:after="283"/>
              <w:jc w:val="left"/>
              <w:rPr/>
            </w:pPr>
            <w:r>
              <w:rPr/>
              <w:t>  </w:t>
            </w:r>
          </w:p>
        </w:tc>
        <w:tc>
          <w:tcPr>
            <w:tcW w:w="1884" w:type="dxa"/>
            <w:tcBorders/>
            <w:vAlign w:val="bottom"/>
          </w:tcPr>
          <w:p>
            <w:pPr>
              <w:pStyle w:val="TableContents"/>
              <w:bidi w:val="0"/>
              <w:spacing w:before="0" w:after="283"/>
              <w:jc w:val="center"/>
              <w:rPr/>
            </w:pPr>
            <w:r>
              <w:rPr/>
              <w:t>2.02</w:t>
            </w:r>
          </w:p>
        </w:tc>
      </w:tr>
      <w:tr>
        <w:trPr/>
        <w:tc>
          <w:tcPr>
            <w:tcW w:w="6767" w:type="dxa"/>
            <w:tcBorders/>
          </w:tcPr>
          <w:p>
            <w:pPr>
              <w:pStyle w:val="TableContents"/>
              <w:bidi w:val="0"/>
              <w:spacing w:before="0" w:after="283"/>
              <w:jc w:val="left"/>
              <w:rPr>
                <w:u w:val="single"/>
              </w:rPr>
            </w:pPr>
            <w:r>
              <w:rPr>
                <w:u w:val="single"/>
              </w:rPr>
              <w:t>“</w:t>
            </w:r>
            <w:r>
              <w:rPr>
                <w:u w:val="single"/>
              </w:rPr>
              <w:t>Change of Control Offer”</w:t>
            </w:r>
          </w:p>
        </w:tc>
        <w:tc>
          <w:tcPr>
            <w:tcW w:w="737" w:type="dxa"/>
            <w:tcBorders/>
            <w:vAlign w:val="bottom"/>
          </w:tcPr>
          <w:p>
            <w:pPr>
              <w:pStyle w:val="TableContents"/>
              <w:bidi w:val="0"/>
              <w:spacing w:before="0" w:after="283"/>
              <w:jc w:val="left"/>
              <w:rPr/>
            </w:pPr>
            <w:r>
              <w:rPr/>
              <w:t>  </w:t>
            </w:r>
          </w:p>
        </w:tc>
        <w:tc>
          <w:tcPr>
            <w:tcW w:w="1884" w:type="dxa"/>
            <w:tcBorders/>
            <w:vAlign w:val="bottom"/>
          </w:tcPr>
          <w:p>
            <w:pPr>
              <w:pStyle w:val="TableContents"/>
              <w:bidi w:val="0"/>
              <w:spacing w:before="0" w:after="283"/>
              <w:jc w:val="center"/>
              <w:rPr/>
            </w:pPr>
            <w:r>
              <w:rPr/>
              <w:t>4.07</w:t>
            </w:r>
          </w:p>
        </w:tc>
      </w:tr>
      <w:tr>
        <w:trPr/>
        <w:tc>
          <w:tcPr>
            <w:tcW w:w="6767" w:type="dxa"/>
            <w:tcBorders/>
          </w:tcPr>
          <w:p>
            <w:pPr>
              <w:pStyle w:val="TableContents"/>
              <w:bidi w:val="0"/>
              <w:spacing w:before="0" w:after="283"/>
              <w:jc w:val="left"/>
              <w:rPr>
                <w:u w:val="single"/>
              </w:rPr>
            </w:pPr>
            <w:r>
              <w:rPr>
                <w:u w:val="single"/>
              </w:rPr>
              <w:t>“</w:t>
            </w:r>
            <w:r>
              <w:rPr>
                <w:u w:val="single"/>
              </w:rPr>
              <w:t>Change of Control Payment”</w:t>
            </w:r>
          </w:p>
        </w:tc>
        <w:tc>
          <w:tcPr>
            <w:tcW w:w="737" w:type="dxa"/>
            <w:tcBorders/>
            <w:vAlign w:val="bottom"/>
          </w:tcPr>
          <w:p>
            <w:pPr>
              <w:pStyle w:val="TableContents"/>
              <w:bidi w:val="0"/>
              <w:spacing w:before="0" w:after="283"/>
              <w:jc w:val="left"/>
              <w:rPr/>
            </w:pPr>
            <w:r>
              <w:rPr/>
              <w:t>  </w:t>
            </w:r>
          </w:p>
        </w:tc>
        <w:tc>
          <w:tcPr>
            <w:tcW w:w="1884" w:type="dxa"/>
            <w:tcBorders/>
            <w:vAlign w:val="bottom"/>
          </w:tcPr>
          <w:p>
            <w:pPr>
              <w:pStyle w:val="TableContents"/>
              <w:bidi w:val="0"/>
              <w:spacing w:before="0" w:after="283"/>
              <w:jc w:val="center"/>
              <w:rPr/>
            </w:pPr>
            <w:r>
              <w:rPr/>
              <w:t>4.07</w:t>
            </w:r>
          </w:p>
        </w:tc>
      </w:tr>
      <w:tr>
        <w:trPr/>
        <w:tc>
          <w:tcPr>
            <w:tcW w:w="6767" w:type="dxa"/>
            <w:tcBorders/>
          </w:tcPr>
          <w:p>
            <w:pPr>
              <w:pStyle w:val="TableContents"/>
              <w:bidi w:val="0"/>
              <w:spacing w:before="0" w:after="283"/>
              <w:jc w:val="left"/>
              <w:rPr>
                <w:u w:val="single"/>
              </w:rPr>
            </w:pPr>
            <w:r>
              <w:rPr>
                <w:u w:val="single"/>
              </w:rPr>
              <w:t>“</w:t>
            </w:r>
            <w:r>
              <w:rPr>
                <w:u w:val="single"/>
              </w:rPr>
              <w:t>Change of Control Payment Date”</w:t>
            </w:r>
          </w:p>
        </w:tc>
        <w:tc>
          <w:tcPr>
            <w:tcW w:w="737" w:type="dxa"/>
            <w:tcBorders/>
            <w:vAlign w:val="bottom"/>
          </w:tcPr>
          <w:p>
            <w:pPr>
              <w:pStyle w:val="TableContents"/>
              <w:bidi w:val="0"/>
              <w:spacing w:before="0" w:after="283"/>
              <w:jc w:val="left"/>
              <w:rPr/>
            </w:pPr>
            <w:r>
              <w:rPr/>
              <w:t>  </w:t>
            </w:r>
          </w:p>
        </w:tc>
        <w:tc>
          <w:tcPr>
            <w:tcW w:w="1884" w:type="dxa"/>
            <w:tcBorders/>
            <w:vAlign w:val="bottom"/>
          </w:tcPr>
          <w:p>
            <w:pPr>
              <w:pStyle w:val="TableContents"/>
              <w:bidi w:val="0"/>
              <w:spacing w:before="0" w:after="283"/>
              <w:jc w:val="center"/>
              <w:rPr/>
            </w:pPr>
            <w:r>
              <w:rPr/>
              <w:t>4.07</w:t>
            </w:r>
          </w:p>
        </w:tc>
      </w:tr>
      <w:tr>
        <w:trPr/>
        <w:tc>
          <w:tcPr>
            <w:tcW w:w="6767" w:type="dxa"/>
            <w:tcBorders/>
          </w:tcPr>
          <w:p>
            <w:pPr>
              <w:pStyle w:val="TableContents"/>
              <w:bidi w:val="0"/>
              <w:spacing w:before="0" w:after="283"/>
              <w:jc w:val="left"/>
              <w:rPr>
                <w:u w:val="single"/>
              </w:rPr>
            </w:pPr>
            <w:r>
              <w:rPr>
                <w:u w:val="single"/>
              </w:rPr>
              <w:t>“</w:t>
            </w:r>
            <w:r>
              <w:rPr>
                <w:u w:val="single"/>
              </w:rPr>
              <w:t>Covenant Defeasance”</w:t>
            </w:r>
          </w:p>
        </w:tc>
        <w:tc>
          <w:tcPr>
            <w:tcW w:w="737" w:type="dxa"/>
            <w:tcBorders/>
            <w:vAlign w:val="bottom"/>
          </w:tcPr>
          <w:p>
            <w:pPr>
              <w:pStyle w:val="TableContents"/>
              <w:bidi w:val="0"/>
              <w:spacing w:before="0" w:after="283"/>
              <w:jc w:val="left"/>
              <w:rPr/>
            </w:pPr>
            <w:r>
              <w:rPr/>
              <w:t>  </w:t>
            </w:r>
          </w:p>
        </w:tc>
        <w:tc>
          <w:tcPr>
            <w:tcW w:w="1884" w:type="dxa"/>
            <w:tcBorders/>
            <w:vAlign w:val="bottom"/>
          </w:tcPr>
          <w:p>
            <w:pPr>
              <w:pStyle w:val="TableContents"/>
              <w:bidi w:val="0"/>
              <w:spacing w:before="0" w:after="283"/>
              <w:jc w:val="center"/>
              <w:rPr/>
            </w:pPr>
            <w:r>
              <w:rPr/>
              <w:t>8.01</w:t>
            </w:r>
          </w:p>
        </w:tc>
      </w:tr>
      <w:tr>
        <w:trPr/>
        <w:tc>
          <w:tcPr>
            <w:tcW w:w="6767" w:type="dxa"/>
            <w:tcBorders/>
          </w:tcPr>
          <w:p>
            <w:pPr>
              <w:pStyle w:val="TableContents"/>
              <w:bidi w:val="0"/>
              <w:spacing w:before="0" w:after="283"/>
              <w:jc w:val="left"/>
              <w:rPr>
                <w:u w:val="single"/>
              </w:rPr>
            </w:pPr>
            <w:r>
              <w:rPr>
                <w:u w:val="single"/>
              </w:rPr>
              <w:t>“</w:t>
            </w:r>
            <w:r>
              <w:rPr>
                <w:u w:val="single"/>
              </w:rPr>
              <w:t>DTC”</w:t>
            </w:r>
          </w:p>
        </w:tc>
        <w:tc>
          <w:tcPr>
            <w:tcW w:w="737" w:type="dxa"/>
            <w:tcBorders/>
            <w:vAlign w:val="bottom"/>
          </w:tcPr>
          <w:p>
            <w:pPr>
              <w:pStyle w:val="TableContents"/>
              <w:bidi w:val="0"/>
              <w:spacing w:before="0" w:after="283"/>
              <w:jc w:val="left"/>
              <w:rPr/>
            </w:pPr>
            <w:r>
              <w:rPr/>
              <w:t>  </w:t>
            </w:r>
          </w:p>
        </w:tc>
        <w:tc>
          <w:tcPr>
            <w:tcW w:w="1884" w:type="dxa"/>
            <w:tcBorders/>
            <w:vAlign w:val="bottom"/>
          </w:tcPr>
          <w:p>
            <w:pPr>
              <w:pStyle w:val="TableContents"/>
              <w:bidi w:val="0"/>
              <w:spacing w:before="0" w:after="283"/>
              <w:jc w:val="center"/>
              <w:rPr/>
            </w:pPr>
            <w:r>
              <w:rPr/>
              <w:t>2.06</w:t>
            </w:r>
          </w:p>
        </w:tc>
      </w:tr>
      <w:tr>
        <w:trPr/>
        <w:tc>
          <w:tcPr>
            <w:tcW w:w="6767" w:type="dxa"/>
            <w:tcBorders/>
          </w:tcPr>
          <w:p>
            <w:pPr>
              <w:pStyle w:val="TableContents"/>
              <w:bidi w:val="0"/>
              <w:spacing w:before="0" w:after="283"/>
              <w:jc w:val="left"/>
              <w:rPr>
                <w:u w:val="single"/>
              </w:rPr>
            </w:pPr>
            <w:r>
              <w:rPr>
                <w:u w:val="single"/>
              </w:rPr>
              <w:t>“</w:t>
            </w:r>
            <w:r>
              <w:rPr>
                <w:u w:val="single"/>
              </w:rPr>
              <w:t>Event of Default”</w:t>
            </w:r>
          </w:p>
        </w:tc>
        <w:tc>
          <w:tcPr>
            <w:tcW w:w="737" w:type="dxa"/>
            <w:tcBorders/>
            <w:vAlign w:val="bottom"/>
          </w:tcPr>
          <w:p>
            <w:pPr>
              <w:pStyle w:val="TableContents"/>
              <w:bidi w:val="0"/>
              <w:spacing w:before="0" w:after="283"/>
              <w:jc w:val="left"/>
              <w:rPr/>
            </w:pPr>
            <w:r>
              <w:rPr/>
              <w:t>  </w:t>
            </w:r>
          </w:p>
        </w:tc>
        <w:tc>
          <w:tcPr>
            <w:tcW w:w="1884" w:type="dxa"/>
            <w:tcBorders/>
            <w:vAlign w:val="bottom"/>
          </w:tcPr>
          <w:p>
            <w:pPr>
              <w:pStyle w:val="TableContents"/>
              <w:bidi w:val="0"/>
              <w:spacing w:before="0" w:after="283"/>
              <w:jc w:val="center"/>
              <w:rPr/>
            </w:pPr>
            <w:r>
              <w:rPr/>
              <w:t>6.01</w:t>
            </w:r>
          </w:p>
        </w:tc>
      </w:tr>
      <w:tr>
        <w:trPr/>
        <w:tc>
          <w:tcPr>
            <w:tcW w:w="6767" w:type="dxa"/>
            <w:tcBorders/>
          </w:tcPr>
          <w:p>
            <w:pPr>
              <w:pStyle w:val="TableContents"/>
              <w:bidi w:val="0"/>
              <w:spacing w:before="0" w:after="283"/>
              <w:jc w:val="left"/>
              <w:rPr>
                <w:u w:val="single"/>
              </w:rPr>
            </w:pPr>
            <w:r>
              <w:rPr>
                <w:u w:val="single"/>
              </w:rPr>
              <w:t>“</w:t>
            </w:r>
            <w:r>
              <w:rPr>
                <w:u w:val="single"/>
              </w:rPr>
              <w:t>incorporated provision”</w:t>
            </w:r>
          </w:p>
        </w:tc>
        <w:tc>
          <w:tcPr>
            <w:tcW w:w="737" w:type="dxa"/>
            <w:tcBorders/>
            <w:vAlign w:val="bottom"/>
          </w:tcPr>
          <w:p>
            <w:pPr>
              <w:pStyle w:val="TableContents"/>
              <w:bidi w:val="0"/>
              <w:spacing w:before="0" w:after="283"/>
              <w:jc w:val="left"/>
              <w:rPr/>
            </w:pPr>
            <w:r>
              <w:rPr/>
              <w:t>  </w:t>
            </w:r>
          </w:p>
        </w:tc>
        <w:tc>
          <w:tcPr>
            <w:tcW w:w="1884" w:type="dxa"/>
            <w:tcBorders/>
            <w:vAlign w:val="bottom"/>
          </w:tcPr>
          <w:p>
            <w:pPr>
              <w:pStyle w:val="TableContents"/>
              <w:bidi w:val="0"/>
              <w:spacing w:before="0" w:after="283"/>
              <w:jc w:val="center"/>
              <w:rPr/>
            </w:pPr>
            <w:r>
              <w:rPr/>
              <w:t>13.01</w:t>
            </w:r>
          </w:p>
        </w:tc>
      </w:tr>
      <w:tr>
        <w:trPr/>
        <w:tc>
          <w:tcPr>
            <w:tcW w:w="6767" w:type="dxa"/>
            <w:tcBorders/>
          </w:tcPr>
          <w:p>
            <w:pPr>
              <w:pStyle w:val="TableContents"/>
              <w:bidi w:val="0"/>
              <w:spacing w:before="0" w:after="283"/>
              <w:jc w:val="left"/>
              <w:rPr>
                <w:u w:val="single"/>
              </w:rPr>
            </w:pPr>
            <w:r>
              <w:rPr>
                <w:u w:val="single"/>
              </w:rPr>
              <w:t>“</w:t>
            </w:r>
            <w:r>
              <w:rPr>
                <w:u w:val="single"/>
              </w:rPr>
              <w:t>Indebtedness”</w:t>
            </w:r>
          </w:p>
        </w:tc>
        <w:tc>
          <w:tcPr>
            <w:tcW w:w="737" w:type="dxa"/>
            <w:tcBorders/>
            <w:vAlign w:val="bottom"/>
          </w:tcPr>
          <w:p>
            <w:pPr>
              <w:pStyle w:val="TableContents"/>
              <w:bidi w:val="0"/>
              <w:spacing w:before="0" w:after="283"/>
              <w:jc w:val="left"/>
              <w:rPr/>
            </w:pPr>
            <w:r>
              <w:rPr/>
              <w:t>  </w:t>
            </w:r>
          </w:p>
        </w:tc>
        <w:tc>
          <w:tcPr>
            <w:tcW w:w="1884" w:type="dxa"/>
            <w:tcBorders/>
            <w:vAlign w:val="bottom"/>
          </w:tcPr>
          <w:p>
            <w:pPr>
              <w:pStyle w:val="TableContents"/>
              <w:bidi w:val="0"/>
              <w:spacing w:before="0" w:after="283"/>
              <w:jc w:val="center"/>
              <w:rPr/>
            </w:pPr>
            <w:r>
              <w:rPr/>
              <w:t>4.05</w:t>
            </w:r>
          </w:p>
        </w:tc>
      </w:tr>
      <w:tr>
        <w:trPr/>
        <w:tc>
          <w:tcPr>
            <w:tcW w:w="6767" w:type="dxa"/>
            <w:tcBorders/>
          </w:tcPr>
          <w:p>
            <w:pPr>
              <w:pStyle w:val="TableContents"/>
              <w:bidi w:val="0"/>
              <w:spacing w:before="0" w:after="283"/>
              <w:jc w:val="left"/>
              <w:rPr>
                <w:u w:val="single"/>
              </w:rPr>
            </w:pPr>
            <w:r>
              <w:rPr>
                <w:u w:val="single"/>
              </w:rPr>
              <w:t>“</w:t>
            </w:r>
            <w:r>
              <w:rPr>
                <w:u w:val="single"/>
              </w:rPr>
              <w:t>Legal Defeasance”</w:t>
            </w:r>
          </w:p>
        </w:tc>
        <w:tc>
          <w:tcPr>
            <w:tcW w:w="737" w:type="dxa"/>
            <w:tcBorders/>
            <w:vAlign w:val="bottom"/>
          </w:tcPr>
          <w:p>
            <w:pPr>
              <w:pStyle w:val="TableContents"/>
              <w:bidi w:val="0"/>
              <w:spacing w:before="0" w:after="283"/>
              <w:jc w:val="left"/>
              <w:rPr/>
            </w:pPr>
            <w:r>
              <w:rPr/>
              <w:t>  </w:t>
            </w:r>
          </w:p>
        </w:tc>
        <w:tc>
          <w:tcPr>
            <w:tcW w:w="1884" w:type="dxa"/>
            <w:tcBorders/>
            <w:vAlign w:val="bottom"/>
          </w:tcPr>
          <w:p>
            <w:pPr>
              <w:pStyle w:val="TableContents"/>
              <w:bidi w:val="0"/>
              <w:spacing w:before="0" w:after="283"/>
              <w:jc w:val="center"/>
              <w:rPr/>
            </w:pPr>
            <w:r>
              <w:rPr/>
              <w:t>8.01</w:t>
            </w:r>
          </w:p>
        </w:tc>
      </w:tr>
      <w:tr>
        <w:trPr/>
        <w:tc>
          <w:tcPr>
            <w:tcW w:w="6767" w:type="dxa"/>
            <w:tcBorders/>
          </w:tcPr>
          <w:p>
            <w:pPr>
              <w:pStyle w:val="TableContents"/>
              <w:bidi w:val="0"/>
              <w:spacing w:before="0" w:after="283"/>
              <w:jc w:val="left"/>
              <w:rPr>
                <w:u w:val="single"/>
              </w:rPr>
            </w:pPr>
            <w:r>
              <w:rPr>
                <w:u w:val="single"/>
              </w:rPr>
              <w:t>“</w:t>
            </w:r>
            <w:r>
              <w:rPr>
                <w:u w:val="single"/>
              </w:rPr>
              <w:t>Par Call Date”</w:t>
            </w:r>
          </w:p>
        </w:tc>
        <w:tc>
          <w:tcPr>
            <w:tcW w:w="737" w:type="dxa"/>
            <w:tcBorders/>
            <w:vAlign w:val="bottom"/>
          </w:tcPr>
          <w:p>
            <w:pPr>
              <w:pStyle w:val="TableContents"/>
              <w:bidi w:val="0"/>
              <w:spacing w:before="0" w:after="283"/>
              <w:jc w:val="left"/>
              <w:rPr/>
            </w:pPr>
            <w:r>
              <w:rPr/>
              <w:t>  </w:t>
            </w:r>
          </w:p>
        </w:tc>
        <w:tc>
          <w:tcPr>
            <w:tcW w:w="1884" w:type="dxa"/>
            <w:tcBorders/>
            <w:vAlign w:val="bottom"/>
          </w:tcPr>
          <w:p>
            <w:pPr>
              <w:pStyle w:val="TableContents"/>
              <w:bidi w:val="0"/>
              <w:spacing w:before="0" w:after="283"/>
              <w:jc w:val="center"/>
              <w:rPr/>
            </w:pPr>
            <w:r>
              <w:rPr/>
              <w:t>3.07</w:t>
            </w:r>
          </w:p>
        </w:tc>
      </w:tr>
      <w:tr>
        <w:trPr/>
        <w:tc>
          <w:tcPr>
            <w:tcW w:w="6767" w:type="dxa"/>
            <w:tcBorders/>
          </w:tcPr>
          <w:p>
            <w:pPr>
              <w:pStyle w:val="TableContents"/>
              <w:bidi w:val="0"/>
              <w:spacing w:before="0" w:after="283"/>
              <w:jc w:val="left"/>
              <w:rPr>
                <w:u w:val="single"/>
              </w:rPr>
            </w:pPr>
            <w:r>
              <w:rPr>
                <w:u w:val="single"/>
              </w:rPr>
              <w:t>“</w:t>
            </w:r>
            <w:r>
              <w:rPr>
                <w:u w:val="single"/>
              </w:rPr>
              <w:t>Paying Agent”</w:t>
            </w:r>
          </w:p>
        </w:tc>
        <w:tc>
          <w:tcPr>
            <w:tcW w:w="737" w:type="dxa"/>
            <w:tcBorders/>
            <w:vAlign w:val="bottom"/>
          </w:tcPr>
          <w:p>
            <w:pPr>
              <w:pStyle w:val="TableContents"/>
              <w:bidi w:val="0"/>
              <w:spacing w:before="0" w:after="283"/>
              <w:jc w:val="left"/>
              <w:rPr/>
            </w:pPr>
            <w:r>
              <w:rPr/>
              <w:t>  </w:t>
            </w:r>
          </w:p>
        </w:tc>
        <w:tc>
          <w:tcPr>
            <w:tcW w:w="1884" w:type="dxa"/>
            <w:tcBorders/>
            <w:vAlign w:val="bottom"/>
          </w:tcPr>
          <w:p>
            <w:pPr>
              <w:pStyle w:val="TableContents"/>
              <w:bidi w:val="0"/>
              <w:spacing w:before="0" w:after="283"/>
              <w:jc w:val="center"/>
              <w:rPr/>
            </w:pPr>
            <w:r>
              <w:rPr/>
              <w:t>2.03</w:t>
            </w:r>
          </w:p>
        </w:tc>
      </w:tr>
      <w:tr>
        <w:trPr/>
        <w:tc>
          <w:tcPr>
            <w:tcW w:w="6767" w:type="dxa"/>
            <w:tcBorders/>
          </w:tcPr>
          <w:p>
            <w:pPr>
              <w:pStyle w:val="TableContents"/>
              <w:bidi w:val="0"/>
              <w:spacing w:before="0" w:after="283"/>
              <w:jc w:val="left"/>
              <w:rPr>
                <w:u w:val="single"/>
              </w:rPr>
            </w:pPr>
            <w:r>
              <w:rPr>
                <w:u w:val="single"/>
              </w:rPr>
              <w:t>“</w:t>
            </w:r>
            <w:r>
              <w:rPr>
                <w:u w:val="single"/>
              </w:rPr>
              <w:t>Registrar”</w:t>
            </w:r>
          </w:p>
        </w:tc>
        <w:tc>
          <w:tcPr>
            <w:tcW w:w="737" w:type="dxa"/>
            <w:tcBorders/>
            <w:vAlign w:val="bottom"/>
          </w:tcPr>
          <w:p>
            <w:pPr>
              <w:pStyle w:val="TableContents"/>
              <w:bidi w:val="0"/>
              <w:spacing w:before="0" w:after="283"/>
              <w:jc w:val="left"/>
              <w:rPr/>
            </w:pPr>
            <w:r>
              <w:rPr/>
              <w:t>  </w:t>
            </w:r>
          </w:p>
        </w:tc>
        <w:tc>
          <w:tcPr>
            <w:tcW w:w="1884" w:type="dxa"/>
            <w:tcBorders/>
            <w:vAlign w:val="bottom"/>
          </w:tcPr>
          <w:p>
            <w:pPr>
              <w:pStyle w:val="TableContents"/>
              <w:bidi w:val="0"/>
              <w:spacing w:before="0" w:after="283"/>
              <w:jc w:val="center"/>
              <w:rPr/>
            </w:pPr>
            <w:r>
              <w:rPr/>
              <w:t>2.03</w:t>
            </w:r>
          </w:p>
        </w:tc>
      </w:tr>
      <w:tr>
        <w:trPr/>
        <w:tc>
          <w:tcPr>
            <w:tcW w:w="6767" w:type="dxa"/>
            <w:tcBorders/>
          </w:tcPr>
          <w:p>
            <w:pPr>
              <w:pStyle w:val="TableContents"/>
              <w:bidi w:val="0"/>
              <w:spacing w:before="0" w:after="283"/>
              <w:jc w:val="left"/>
              <w:rPr>
                <w:u w:val="single"/>
              </w:rPr>
            </w:pPr>
            <w:r>
              <w:rPr>
                <w:u w:val="single"/>
              </w:rPr>
              <w:t>“</w:t>
            </w:r>
            <w:r>
              <w:rPr>
                <w:u w:val="single"/>
              </w:rPr>
              <w:t>Successor Company”</w:t>
            </w:r>
          </w:p>
        </w:tc>
        <w:tc>
          <w:tcPr>
            <w:tcW w:w="737" w:type="dxa"/>
            <w:tcBorders/>
            <w:vAlign w:val="bottom"/>
          </w:tcPr>
          <w:p>
            <w:pPr>
              <w:pStyle w:val="TableContents"/>
              <w:bidi w:val="0"/>
              <w:spacing w:before="0" w:after="283"/>
              <w:jc w:val="left"/>
              <w:rPr/>
            </w:pPr>
            <w:r>
              <w:rPr/>
              <w:t>  </w:t>
            </w:r>
          </w:p>
        </w:tc>
        <w:tc>
          <w:tcPr>
            <w:tcW w:w="1884" w:type="dxa"/>
            <w:tcBorders/>
            <w:vAlign w:val="bottom"/>
          </w:tcPr>
          <w:p>
            <w:pPr>
              <w:pStyle w:val="TableContents"/>
              <w:bidi w:val="0"/>
              <w:spacing w:before="0" w:after="283"/>
              <w:jc w:val="center"/>
              <w:rPr/>
            </w:pPr>
            <w:r>
              <w:rPr/>
              <w:t>5.01</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1.04 </w:t>
      </w:r>
      <w:r>
        <w:rPr>
          <w:rFonts w:ascii="Times New Roman" w:hAnsi="Times New Roman"/>
          <w:sz w:val="20"/>
          <w:u w:val="single"/>
        </w:rPr>
        <w:t>Incorporation by Reference of Trust Indenture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Whenever this Indenture refers to a provision of the TIA, the provision is incorporated by reference in and made a part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TIA terms used in this Indenture have the following meanings: </w:t>
      </w:r>
    </w:p>
    <w:p>
      <w:pPr>
        <w:pStyle w:val="TextBody"/>
        <w:bidi w:val="0"/>
        <w:spacing w:before="120" w:after="0"/>
        <w:jc w:val="left"/>
        <w:rPr/>
      </w:pPr>
      <w:r>
        <w:rPr/>
        <w:t>“</w:t>
      </w:r>
      <w:r>
        <w:rPr>
          <w:rFonts w:ascii="Times New Roman" w:hAnsi="Times New Roman"/>
          <w:sz w:val="20"/>
          <w:u w:val="single"/>
        </w:rPr>
        <w:t>indenture securities</w:t>
      </w:r>
      <w:r>
        <w:rPr>
          <w:rFonts w:ascii="Times New Roman" w:hAnsi="Times New Roman"/>
          <w:sz w:val="20"/>
        </w:rPr>
        <w:t xml:space="preserve">” means the Notes; </w:t>
      </w:r>
    </w:p>
    <w:p>
      <w:pPr>
        <w:pStyle w:val="TextBody"/>
        <w:bidi w:val="0"/>
        <w:spacing w:before="240" w:after="0"/>
        <w:jc w:val="left"/>
        <w:rPr/>
      </w:pPr>
      <w:r>
        <w:rPr/>
        <w:t>“</w:t>
      </w:r>
      <w:r>
        <w:rPr>
          <w:rFonts w:ascii="Times New Roman" w:hAnsi="Times New Roman"/>
          <w:sz w:val="20"/>
          <w:u w:val="single"/>
        </w:rPr>
        <w:t>indenture securit</w:t>
      </w:r>
      <w:r>
        <w:rPr>
          <w:rFonts w:ascii="Times New Roman" w:hAnsi="Times New Roman"/>
          <w:sz w:val="20"/>
        </w:rPr>
        <w:t>y</w:t>
      </w:r>
      <w:r>
        <w:rPr>
          <w:rFonts w:ascii="Times New Roman" w:hAnsi="Times New Roman"/>
          <w:sz w:val="20"/>
          <w:u w:val="single"/>
        </w:rPr>
        <w:t xml:space="preserve"> Holder</w:t>
      </w:r>
      <w:r>
        <w:rPr>
          <w:rFonts w:ascii="Times New Roman" w:hAnsi="Times New Roman"/>
          <w:sz w:val="20"/>
        </w:rPr>
        <w:t xml:space="preserve">” means a Holder of a Note; </w:t>
      </w:r>
    </w:p>
    <w:p>
      <w:pPr>
        <w:pStyle w:val="TextBody"/>
        <w:bidi w:val="0"/>
        <w:spacing w:before="240" w:after="0"/>
        <w:jc w:val="left"/>
        <w:rPr/>
      </w:pPr>
      <w:r>
        <w:rPr/>
        <w:t>“</w:t>
      </w:r>
      <w:r>
        <w:rPr>
          <w:rFonts w:ascii="Times New Roman" w:hAnsi="Times New Roman"/>
          <w:sz w:val="20"/>
          <w:u w:val="single"/>
        </w:rPr>
        <w:t>indenture to be qualified</w:t>
      </w:r>
      <w:r>
        <w:rPr>
          <w:rFonts w:ascii="Times New Roman" w:hAnsi="Times New Roman"/>
          <w:sz w:val="20"/>
        </w:rPr>
        <w:t xml:space="preserve">” means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indenture trustee</w:t>
      </w:r>
      <w:r>
        <w:rPr>
          <w:rFonts w:ascii="Times New Roman" w:hAnsi="Times New Roman"/>
          <w:sz w:val="20"/>
        </w:rPr>
        <w:t>” or “</w:t>
      </w:r>
      <w:r>
        <w:rPr>
          <w:rFonts w:ascii="Times New Roman" w:hAnsi="Times New Roman"/>
          <w:sz w:val="20"/>
          <w:u w:val="single"/>
        </w:rPr>
        <w:t>institutional trustee</w:t>
      </w:r>
      <w:r>
        <w:rPr>
          <w:rFonts w:ascii="Times New Roman" w:hAnsi="Times New Roman"/>
          <w:sz w:val="20"/>
        </w:rPr>
        <w:t xml:space="preserve">” means the Trustee; and </w:t>
      </w:r>
    </w:p>
    <w:p>
      <w:pPr>
        <w:pStyle w:val="TextBody"/>
        <w:bidi w:val="0"/>
        <w:spacing w:before="240" w:after="0"/>
        <w:jc w:val="left"/>
        <w:rPr/>
      </w:pPr>
      <w:r>
        <w:rPr/>
        <w:t>“</w:t>
      </w:r>
      <w:r>
        <w:rPr>
          <w:rFonts w:ascii="Times New Roman" w:hAnsi="Times New Roman"/>
          <w:sz w:val="20"/>
          <w:u w:val="single"/>
        </w:rPr>
        <w:t>obli</w:t>
      </w:r>
      <w:r>
        <w:rPr>
          <w:rFonts w:ascii="Times New Roman" w:hAnsi="Times New Roman"/>
          <w:sz w:val="20"/>
        </w:rPr>
        <w:t>g</w:t>
      </w:r>
      <w:r>
        <w:rPr>
          <w:rFonts w:ascii="Times New Roman" w:hAnsi="Times New Roman"/>
          <w:sz w:val="20"/>
          <w:u w:val="single"/>
        </w:rPr>
        <w:t>or</w:t>
      </w:r>
      <w:r>
        <w:rPr>
          <w:rFonts w:ascii="Times New Roman" w:hAnsi="Times New Roman"/>
          <w:sz w:val="20"/>
        </w:rPr>
        <w:t xml:space="preserve">” on the indenture securities means the Company and any successor obligor upon the indenture securities. </w:t>
      </w:r>
    </w:p>
    <w:p>
      <w:pPr>
        <w:pStyle w:val="TextBody"/>
        <w:bidi w:val="0"/>
        <w:spacing w:before="240" w:after="0"/>
        <w:jc w:val="left"/>
        <w:rPr>
          <w:rFonts w:ascii="Times New Roman" w:hAnsi="Times New Roman"/>
          <w:sz w:val="20"/>
        </w:rPr>
      </w:pPr>
      <w:r>
        <w:rPr>
          <w:rFonts w:ascii="Times New Roman" w:hAnsi="Times New Roman"/>
          <w:sz w:val="20"/>
        </w:rPr>
        <w:t xml:space="preserve">All other terms used in this Indenture that are defined by the TIA, defined by TIA reference to another statute or defined by SEC rule under the TIA have the meanings so assigned to them by such 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1.05 </w:t>
      </w:r>
      <w:r>
        <w:rPr>
          <w:rFonts w:ascii="Times New Roman" w:hAnsi="Times New Roman"/>
          <w:sz w:val="20"/>
          <w:u w:val="single"/>
        </w:rPr>
        <w:t>Rules of Construction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requires: </w:t>
      </w:r>
    </w:p>
    <w:p>
      <w:pPr>
        <w:pStyle w:val="TextBody"/>
        <w:bidi w:val="0"/>
        <w:spacing w:before="120" w:after="0"/>
        <w:jc w:val="left"/>
        <w:rPr>
          <w:rFonts w:ascii="Times New Roman" w:hAnsi="Times New Roman"/>
          <w:sz w:val="20"/>
        </w:rPr>
      </w:pPr>
      <w:r>
        <w:rPr>
          <w:rFonts w:ascii="Times New Roman" w:hAnsi="Times New Roman"/>
          <w:sz w:val="20"/>
        </w:rPr>
        <w:t xml:space="preserve">(i) a term has the meaning assigned to it; </w:t>
      </w:r>
    </w:p>
    <w:p>
      <w:pPr>
        <w:pStyle w:val="TextBody"/>
        <w:bidi w:val="0"/>
        <w:spacing w:before="120" w:after="0"/>
        <w:jc w:val="left"/>
        <w:rPr>
          <w:rFonts w:ascii="Times New Roman" w:hAnsi="Times New Roman"/>
          <w:sz w:val="20"/>
        </w:rPr>
      </w:pPr>
      <w:r>
        <w:rPr>
          <w:rFonts w:ascii="Times New Roman" w:hAnsi="Times New Roman"/>
          <w:sz w:val="20"/>
        </w:rPr>
        <w:t xml:space="preserve">(ii) an accounting term not otherwise defined has the meaning assigned to it in accordance with GAAP; </w:t>
      </w:r>
    </w:p>
    <w:p>
      <w:pPr>
        <w:pStyle w:val="TextBody"/>
        <w:bidi w:val="0"/>
        <w:spacing w:before="120" w:after="0"/>
        <w:jc w:val="left"/>
        <w:rPr>
          <w:rFonts w:ascii="Times New Roman" w:hAnsi="Times New Roman"/>
          <w:sz w:val="20"/>
        </w:rPr>
      </w:pPr>
      <w:r>
        <w:rPr>
          <w:rFonts w:ascii="Times New Roman" w:hAnsi="Times New Roman"/>
          <w:sz w:val="20"/>
        </w:rPr>
        <w:t xml:space="preserve">(iii) words in the singular include the plural, and words in the plural include the singular; </w:t>
      </w:r>
    </w:p>
    <w:p>
      <w:pPr>
        <w:pStyle w:val="TextBody"/>
        <w:bidi w:val="0"/>
        <w:spacing w:before="120" w:after="0"/>
        <w:jc w:val="left"/>
        <w:rPr>
          <w:rFonts w:ascii="Times New Roman" w:hAnsi="Times New Roman"/>
          <w:sz w:val="20"/>
        </w:rPr>
      </w:pPr>
      <w:r>
        <w:rPr>
          <w:rFonts w:ascii="Times New Roman" w:hAnsi="Times New Roman"/>
          <w:sz w:val="20"/>
        </w:rPr>
        <w:t xml:space="preserve">(iv) “will” and “shall” shall each be interpreted to express a command; </w:t>
      </w:r>
    </w:p>
    <w:p>
      <w:pPr>
        <w:pStyle w:val="TextBody"/>
        <w:bidi w:val="0"/>
        <w:spacing w:before="120" w:after="0"/>
        <w:jc w:val="left"/>
        <w:rPr>
          <w:rFonts w:ascii="Times New Roman" w:hAnsi="Times New Roman"/>
          <w:sz w:val="20"/>
        </w:rPr>
      </w:pPr>
      <w:r>
        <w:rPr>
          <w:rFonts w:ascii="Times New Roman" w:hAnsi="Times New Roman"/>
          <w:sz w:val="20"/>
        </w:rPr>
        <w:t xml:space="preserve">(v) references to sections of or rules under the Securities Act will be deemed to include substitute, replacement of successor sections or rules adopted by the SEC from time to time; </w:t>
      </w:r>
    </w:p>
    <w:p>
      <w:pPr>
        <w:pStyle w:val="TextBody"/>
        <w:bidi w:val="0"/>
        <w:spacing w:before="120" w:after="0"/>
        <w:jc w:val="left"/>
        <w:rPr>
          <w:rFonts w:ascii="Times New Roman" w:hAnsi="Times New Roman"/>
          <w:sz w:val="20"/>
        </w:rPr>
      </w:pPr>
      <w:r>
        <w:rPr>
          <w:rFonts w:ascii="Times New Roman" w:hAnsi="Times New Roman"/>
          <w:sz w:val="20"/>
        </w:rPr>
        <w:t xml:space="preserve">(vi) the words “include,” “includes” and “including” shall be deemed to be followed by the phrase “without limitation”; </w:t>
      </w:r>
    </w:p>
    <w:p>
      <w:pPr>
        <w:pStyle w:val="TextBody"/>
        <w:bidi w:val="0"/>
        <w:spacing w:before="120" w:after="0"/>
        <w:jc w:val="left"/>
        <w:rPr>
          <w:rFonts w:ascii="Times New Roman" w:hAnsi="Times New Roman"/>
          <w:sz w:val="20"/>
        </w:rPr>
      </w:pPr>
      <w:r>
        <w:rPr>
          <w:rFonts w:ascii="Times New Roman" w:hAnsi="Times New Roman"/>
          <w:sz w:val="20"/>
        </w:rPr>
        <w:t xml:space="preserve">(vii) the words “asset” and “property” shall be construed to have the same meaning and effect and to refer to any and all tangible and intangible assets and properties, including cash, Capital Stock, securities, revenues, accounts, real property, leasehold interests and contract rights; </w:t>
      </w:r>
    </w:p>
    <w:p>
      <w:pPr>
        <w:pStyle w:val="TextBody"/>
        <w:bidi w:val="0"/>
        <w:spacing w:before="120" w:after="0"/>
        <w:jc w:val="left"/>
        <w:rPr>
          <w:rFonts w:ascii="Times New Roman" w:hAnsi="Times New Roman"/>
          <w:sz w:val="20"/>
        </w:rPr>
      </w:pPr>
      <w:r>
        <w:rPr>
          <w:rFonts w:ascii="Times New Roman" w:hAnsi="Times New Roman"/>
          <w:sz w:val="20"/>
        </w:rPr>
        <w:t xml:space="preserve">(viii) the term “consolidated” with respect to any Person refers to such Person consolidated with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(ix) references to agreements or other contractual obligations shall, unless otherwise specified, be deemed to refer to such agreements or contractual obligations as amended, novated, supplemented, restated, extended, amended and restated or otherwise modified from time to time; </w:t>
      </w:r>
    </w:p>
    <w:p>
      <w:pPr>
        <w:pStyle w:val="TextBody"/>
        <w:bidi w:val="0"/>
        <w:spacing w:before="120" w:after="0"/>
        <w:jc w:val="left"/>
        <w:rPr>
          <w:rFonts w:ascii="Times New Roman" w:hAnsi="Times New Roman"/>
          <w:sz w:val="20"/>
        </w:rPr>
      </w:pPr>
      <w:r>
        <w:rPr>
          <w:rFonts w:ascii="Times New Roman" w:hAnsi="Times New Roman"/>
          <w:sz w:val="20"/>
        </w:rPr>
        <w:t xml:space="preserve">(x) any reference to any law in this Indenture shall include all statutory and regulatory provisions consolidating, amending, replacing, supplementing, superseding or interpreting such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 the words “ordinary course of business” or “ordinary course” shall, with respect to any Person, be deemed to refer to items or actions that are consistent with industry practice or norms of such Person’s industry or such Person’s past practice; and </w:t>
      </w:r>
    </w:p>
    <w:p>
      <w:pPr>
        <w:pStyle w:val="TextBody"/>
        <w:bidi w:val="0"/>
        <w:spacing w:before="120" w:after="0"/>
        <w:jc w:val="left"/>
        <w:rPr>
          <w:rFonts w:ascii="Times New Roman" w:hAnsi="Times New Roman"/>
          <w:sz w:val="20"/>
        </w:rPr>
      </w:pPr>
      <w:r>
        <w:rPr>
          <w:rFonts w:ascii="Times New Roman" w:hAnsi="Times New Roman"/>
          <w:sz w:val="20"/>
        </w:rPr>
        <w:t xml:space="preserve">(xii) unless the context requires otherwise, any reference to delivery by “mail” shall be deemed to include delivery by electronic mail, facsimile or other means of electronic delivery. </w:t>
      </w:r>
    </w:p>
    <w:p>
      <w:pPr>
        <w:pStyle w:val="TextBody"/>
        <w:bidi w:val="0"/>
        <w:spacing w:before="480" w:after="0"/>
        <w:jc w:val="center"/>
        <w:rPr>
          <w:rFonts w:ascii="Times New Roman" w:hAnsi="Times New Roman"/>
          <w:sz w:val="20"/>
        </w:rPr>
      </w:pPr>
      <w:r>
        <w:rPr>
          <w:rFonts w:ascii="Times New Roman" w:hAnsi="Times New Roman"/>
          <w:sz w:val="20"/>
        </w:rPr>
        <w:t xml:space="preserve">ARTICLE 2 </w:t>
      </w:r>
    </w:p>
    <w:p>
      <w:pPr>
        <w:pStyle w:val="TextBody"/>
        <w:bidi w:val="0"/>
        <w:spacing w:before="120" w:after="0"/>
        <w:jc w:val="center"/>
        <w:rPr>
          <w:rFonts w:ascii="Times New Roman" w:hAnsi="Times New Roman"/>
          <w:sz w:val="20"/>
        </w:rPr>
      </w:pPr>
      <w:r>
        <w:rPr>
          <w:rFonts w:ascii="Times New Roman" w:hAnsi="Times New Roman"/>
          <w:sz w:val="20"/>
        </w:rPr>
        <w:t xml:space="preserve">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Form and Dating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w:t>
      </w:r>
      <w:r>
        <w:rPr>
          <w:rFonts w:ascii="Times New Roman" w:hAnsi="Times New Roman"/>
          <w:sz w:val="20"/>
        </w:rPr>
        <w:t xml:space="preserve">. The Notes shall be designated as the “5.850% Senior Notes due 2036.” The aggregate principal amount of Notes that may be authenticated and delivered under this Indenture is initially limited to $650,000,000, except for Notes authenticated and delivered upon registration or transfer of or in exchange for or in lieu of other Notes pursuant to Sections 2.06 and 9.05 hereof and Section 306 of the Base Indenture. Additional Notes may be issued from time to time after the Issue Date in accordance with Section 2.09 hereof. The Notes and the Trustee’s certificate of authentication will be substantially in the form of Exhibit A hereto. The Notes may have notations, legends or endorsements required by law, stock exchange rule or usage. Each Note will be dated the date of its authentication. Notwithstanding Section 302 of the Base Indenture (and as permitted by Section 301(8) of the Base Indenture), unless a Note shall have a zero dollar balance, the Notes shall be in minimum denominations of $2,000 principal amount and integral multiples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The terms and provisions contained in the Notes will constitute, and are hereby expressly made, a part of this Supplemental Indenture, and the Company and the Trustee, by their execution and delivery of this Supplemental Indenture, expressly agree to such terms and provisions and to be bound thereby. However, to the extent any provision of any Note conflicts with the express provisions of the Indenture, the provisions of the Indenture shall govern and be controlling.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Global Notes</w:t>
      </w:r>
      <w:r>
        <w:rPr>
          <w:rFonts w:ascii="Times New Roman" w:hAnsi="Times New Roman"/>
          <w:sz w:val="20"/>
        </w:rPr>
        <w:t xml:space="preserve">. Notes issued in global form will be substantially in the form of Exhibit A hereto (including the Global Note Legend thereon and the “Schedule of Exchanges of Interests in the Global Note” attached thereto). Notes issued in definitive form will be substantially in the form of Exhibit A hereto (but without the Global Note Legend thereon and without the “Schedule of Exchanges of Interests in the Global Note” attached thereto). Each Global Note will represent such of the outstanding Notes as will be specified therein and each shall provide that it represents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 represented thereby will be made by the Trustee or the Custodian, at the direction of the Trustee, in accordance with instructions given by the Holder thereof as required by Section 2.06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Execution and Authentication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At least one Officer must sign the Notes for the Company by manual, facsimile or electronic signature. </w:t>
      </w:r>
    </w:p>
    <w:p>
      <w:pPr>
        <w:pStyle w:val="TextBody"/>
        <w:bidi w:val="0"/>
        <w:spacing w:before="240" w:after="0"/>
        <w:jc w:val="left"/>
        <w:rPr>
          <w:rFonts w:ascii="Times New Roman" w:hAnsi="Times New Roman"/>
          <w:sz w:val="20"/>
        </w:rPr>
      </w:pPr>
      <w:r>
        <w:rPr>
          <w:rFonts w:ascii="Times New Roman" w:hAnsi="Times New Roman"/>
          <w:sz w:val="20"/>
        </w:rPr>
        <w:t xml:space="preserve">If an Officer whose signature is on a Note no longer holds that office at the time a Note is authenticated, the Note will nevertheless be valid. </w:t>
      </w:r>
    </w:p>
    <w:p>
      <w:pPr>
        <w:pStyle w:val="TextBody"/>
        <w:bidi w:val="0"/>
        <w:spacing w:before="240" w:after="0"/>
        <w:jc w:val="left"/>
        <w:rPr>
          <w:rFonts w:ascii="Times New Roman" w:hAnsi="Times New Roman"/>
          <w:sz w:val="20"/>
        </w:rPr>
      </w:pPr>
      <w:r>
        <w:rPr>
          <w:rFonts w:ascii="Times New Roman" w:hAnsi="Times New Roman"/>
          <w:sz w:val="20"/>
        </w:rPr>
        <w:t xml:space="preserve">A Note will not be valid until authenticated by the manual or electronic signature of the Trustee. The signature will be conclusive evidence that the Note has been authenticated under this Indenture. </w:t>
      </w:r>
    </w:p>
    <w:p>
      <w:pPr>
        <w:pStyle w:val="TextBody"/>
        <w:bidi w:val="0"/>
        <w:spacing w:before="240" w:after="0"/>
        <w:jc w:val="left"/>
        <w:rPr>
          <w:rFonts w:ascii="Times New Roman" w:hAnsi="Times New Roman"/>
          <w:sz w:val="20"/>
        </w:rPr>
      </w:pPr>
      <w:r>
        <w:rPr>
          <w:rFonts w:ascii="Times New Roman" w:hAnsi="Times New Roman"/>
          <w:sz w:val="20"/>
        </w:rPr>
        <w:t>The Trustee will, upon receipt of a written order of the Company signed by two Officers of the Company (an “</w:t>
      </w:r>
      <w:r>
        <w:rPr>
          <w:rFonts w:ascii="Times New Roman" w:hAnsi="Times New Roman"/>
          <w:sz w:val="20"/>
          <w:u w:val="single"/>
        </w:rPr>
        <w:t>Authentication</w:t>
      </w:r>
      <w:r>
        <w:rPr>
          <w:rFonts w:ascii="Times New Roman" w:hAnsi="Times New Roman"/>
          <w:sz w:val="20"/>
        </w:rPr>
        <w:t xml:space="preserve"> </w:t>
      </w:r>
      <w:r>
        <w:rPr>
          <w:rFonts w:ascii="Times New Roman" w:hAnsi="Times New Roman"/>
          <w:sz w:val="20"/>
          <w:u w:val="single"/>
        </w:rPr>
        <w:t>Order</w:t>
      </w:r>
      <w:r>
        <w:rPr>
          <w:rFonts w:ascii="Times New Roman" w:hAnsi="Times New Roman"/>
          <w:sz w:val="20"/>
        </w:rPr>
        <w:t xml:space="preserve">”), authenticate Notes for original issue that may be validly issued under this Indenture, including any Additional Notes. Each Authentication Order shall specify the number of separate Note certificates to be authenticated, and the registered Holder, principal amount and delivery direction for each Note. The aggregate principal amount of Notes outstanding at any time may not exceed the aggregate principal amount of Notes authorized for issuance by the Company pursuant to one or more Authentication Orders, except as provided in Section 306 of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appoint an authenticating agent acceptable to the Company to authenticate Notes pursuant to Section 611 of the Base Indenture. An authenticating agent may authenticate Notes whenever the Trustee may do so. Each reference in this Indenture to authentication of the Notes by the Trustee includes authentication by such agent. An authenticating agent has the same rights as an Agent to deal with Holders or an Affiliate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Registrar and Paying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shall maintain an office or agency where Notes may be presented for registration of transfer or for exchange (“</w:t>
      </w:r>
      <w:r>
        <w:rPr>
          <w:rFonts w:ascii="Times New Roman" w:hAnsi="Times New Roman"/>
          <w:sz w:val="20"/>
          <w:u w:val="single"/>
        </w:rPr>
        <w:t>Re</w:t>
      </w:r>
      <w:r>
        <w:rPr>
          <w:rFonts w:ascii="Times New Roman" w:hAnsi="Times New Roman"/>
          <w:sz w:val="20"/>
        </w:rPr>
        <w:t>g</w:t>
      </w:r>
      <w:r>
        <w:rPr>
          <w:rFonts w:ascii="Times New Roman" w:hAnsi="Times New Roman"/>
          <w:sz w:val="20"/>
          <w:u w:val="single"/>
        </w:rPr>
        <w:t>istrar</w:t>
      </w:r>
      <w:r>
        <w:rPr>
          <w:rFonts w:ascii="Times New Roman" w:hAnsi="Times New Roman"/>
          <w:sz w:val="20"/>
        </w:rPr>
        <w:t>”) and an office or agency where Notes may be presented for payment (“</w:t>
      </w:r>
      <w:r>
        <w:rPr>
          <w:rFonts w:ascii="Times New Roman" w:hAnsi="Times New Roman"/>
          <w:sz w:val="20"/>
          <w:u w:val="single"/>
        </w:rPr>
        <w:t>Pa</w:t>
      </w:r>
      <w:r>
        <w:rPr>
          <w:rFonts w:ascii="Times New Roman" w:hAnsi="Times New Roman"/>
          <w:sz w:val="20"/>
        </w:rPr>
        <w:t>y</w:t>
      </w:r>
      <w:r>
        <w:rPr>
          <w:rFonts w:ascii="Times New Roman" w:hAnsi="Times New Roman"/>
          <w:sz w:val="20"/>
          <w:u w:val="single"/>
        </w:rPr>
        <w:t>ing Agent</w:t>
      </w:r>
      <w:r>
        <w:rPr>
          <w:rFonts w:ascii="Times New Roman" w:hAnsi="Times New Roman"/>
          <w:sz w:val="20"/>
        </w:rPr>
        <w:t xml:space="preserve">”). The Registrar will keep a register of the Notes and of their transfer and exchange. The Company may appoint one or more co-registrars and one or more additional paying agents. The term “Registrar” includes any co-registrar and the term “Paying Agent” includes any additional paying agent. The Company may change any Paying Agent or Registrar without notice to any Holder. The Company shall notify the Trustee in writing of the name and address of any Agent not a party to this Indenture. If the Company fails to appoint or maintain another entity as Registrar or Paying Agent, the Trustee shall act as such. The Company or any of its Subsidiaries may act as Paying Agent or Registrar.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remove any Registrar or Paying Agent upon written notice to such Registrar or Paying Agent and to the Trustee;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such removal shall become effective until (i) if applicable, acceptance of an appointment by a successor as evidenced by an appropriate agreement entered into by the Company and such successor Registrar or Paying Agent, as the case may be, and delivered to the Trustee or (ii) notification to the Trustee that the Trustee shall serve as Registrar or Paying Agent until the appointment of a successor in accordance with clause (i) above. The Registrar or Paying Agent may resign at any time upon written notice to the Company and the Trustee;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Trustee may resign as Paying Agent or Registrar only if the Trustee also resigns as Trustee in accordance with Section 608 of the Base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initially appoints DTC to act as Depositary with respect to the Global Notes. </w:t>
      </w:r>
    </w:p>
    <w:p>
      <w:pPr>
        <w:pStyle w:val="TextBody"/>
        <w:bidi w:val="0"/>
        <w:spacing w:before="240" w:after="0"/>
        <w:jc w:val="left"/>
        <w:rPr>
          <w:rFonts w:ascii="Times New Roman" w:hAnsi="Times New Roman"/>
          <w:sz w:val="20"/>
        </w:rPr>
      </w:pPr>
      <w:r>
        <w:rPr>
          <w:rFonts w:ascii="Times New Roman" w:hAnsi="Times New Roman"/>
          <w:sz w:val="20"/>
        </w:rPr>
        <w:t xml:space="preserve">The Company initially appoints the Trustee to act as the Registrar and Paying Agent and to act as Custodian with respect to the Global Notes.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Holder Lists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preserve in as current a form as is reasonably practicable the most recent list available to it of the names and addresses of all Holders and shall otherwise comply with TIA § 312(a). If the Trustee is not the Registrar, the Company shall furnish, or request that the Registrar furnish, to the Trustee at least seven Business Days before each Interest Payment Date and at such other times as the Trustee may request in writing, a list in such form and as of such date as the Trustee may reasonably require of the names and addresses of the Holders of Notes and the Company shall otherwise comply with TIA § 312(a). </w:t>
      </w:r>
    </w:p>
    <w:p>
      <w:pPr>
        <w:pStyle w:val="TextBody"/>
        <w:bidi w:val="0"/>
        <w:spacing w:before="240" w:after="0"/>
        <w:jc w:val="left"/>
        <w:rPr>
          <w:rFonts w:ascii="Times New Roman" w:hAnsi="Times New Roman"/>
          <w:sz w:val="20"/>
        </w:rPr>
      </w:pPr>
      <w:r>
        <w:rPr>
          <w:rFonts w:ascii="Times New Roman" w:hAnsi="Times New Roman"/>
          <w:sz w:val="20"/>
        </w:rPr>
        <w:t xml:space="preserve">Section 2.06 </w:t>
      </w:r>
      <w:r>
        <w:rPr>
          <w:rFonts w:ascii="Times New Roman" w:hAnsi="Times New Roman"/>
          <w:sz w:val="20"/>
          <w:u w:val="single"/>
        </w:rPr>
        <w:t>Transfer and Exchange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Transfer and Exchange of Global Notes</w:t>
      </w:r>
      <w:r>
        <w:rPr>
          <w:rFonts w:ascii="Times New Roman" w:hAnsi="Times New Roman"/>
          <w:sz w:val="20"/>
        </w:rPr>
        <w:t xml:space="preserve">. A Global Note may not be transferred except as a whole by the Depositary to a nominee of the Depositary, by a nominee of the Depositary to the Depositary or to another nominee of the Depositary, or by the Depositary or any such nominee to a successor Depositary or a nominee of such successor Depositary. All Global Notes shall be exchanged by the Company for Definitive Notes if: </w:t>
      </w:r>
    </w:p>
    <w:p>
      <w:pPr>
        <w:pStyle w:val="TextBody"/>
        <w:bidi w:val="0"/>
        <w:spacing w:before="120" w:after="0"/>
        <w:jc w:val="left"/>
        <w:rPr>
          <w:rFonts w:ascii="Times New Roman" w:hAnsi="Times New Roman"/>
          <w:sz w:val="20"/>
        </w:rPr>
      </w:pPr>
      <w:r>
        <w:rPr>
          <w:rFonts w:ascii="Times New Roman" w:hAnsi="Times New Roman"/>
          <w:sz w:val="20"/>
        </w:rPr>
        <w:t xml:space="preserve">(1) the Company delivers to the Trustee notice from the Depositary that it is unwilling or unable to continue to act as Depositary or that it is no longer a clearing agency registered under the Exchange Act and, in either case, a successor Depositary is not appointed by the Company within 90 days after the date of such notice from the Depositary; </w:t>
      </w:r>
    </w:p>
    <w:p>
      <w:pPr>
        <w:pStyle w:val="TextBody"/>
        <w:bidi w:val="0"/>
        <w:spacing w:before="120" w:after="0"/>
        <w:jc w:val="left"/>
        <w:rPr>
          <w:rFonts w:ascii="Times New Roman" w:hAnsi="Times New Roman"/>
          <w:sz w:val="20"/>
        </w:rPr>
      </w:pPr>
      <w:r>
        <w:rPr>
          <w:rFonts w:ascii="Times New Roman" w:hAnsi="Times New Roman"/>
          <w:sz w:val="20"/>
        </w:rPr>
        <w:t xml:space="preserve">(2) subject to the Applicable Procedures of the Depositary, the Company in its sole discretion determines that the Global Notes (in whole but not in part) should be exchanged for Definitive Notes and delivers a written notice to such effect to the Trustee; or </w:t>
      </w:r>
    </w:p>
    <w:p>
      <w:pPr>
        <w:pStyle w:val="TextBody"/>
        <w:bidi w:val="0"/>
        <w:spacing w:before="120" w:after="0"/>
        <w:jc w:val="left"/>
        <w:rPr>
          <w:rFonts w:ascii="Times New Roman" w:hAnsi="Times New Roman"/>
          <w:sz w:val="20"/>
        </w:rPr>
      </w:pPr>
      <w:r>
        <w:rPr>
          <w:rFonts w:ascii="Times New Roman" w:hAnsi="Times New Roman"/>
          <w:sz w:val="20"/>
        </w:rPr>
        <w:t xml:space="preserve">(3) there shall have occurred and be continuing an Event of Default with respect to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Upon the occurrence of either of the preceding events in (1) or (2) above, Definitive Notes shall be issued in such names as the Depositary shall instruct the Trustee. Global Notes also may be exchanged or replaced, in whole or in part, as provided in Sections 304 and 306 of the Base Indenture. Every Note authenticated and delivered in exchange for, or in lieu of, a Global Note or any portion thereof, pursuant to this Section 2.06, Section 9.05 hereof or Section 304 or 306 of the Base Indenture, shall be authenticated and delivered in the form of, and shall be, a Global Note. A Global Note may not be exchanged for another Note other than as provided in this Section 2.06(a); however, beneficial interests in a Global Note may be transferred and exchanged as provided in Section 2.06(b), (c) or (d) hereof.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Transfer and Exchange of Beneficial Interests in the Global Notes</w:t>
      </w:r>
      <w:r>
        <w:rPr>
          <w:rFonts w:ascii="Times New Roman" w:hAnsi="Times New Roman"/>
          <w:sz w:val="20"/>
        </w:rPr>
        <w:t xml:space="preserve">. The transfer and exchange of beneficial interests in the Global Notes shall be effected through the Depositary, in accordance with the provisions of this Supplemental Indenture and the Applicable Procedures. Transfers of beneficial interests in the Global Notes also shall require compliance with either subparagraph (1) or (2) below, as applicable, as well as one or more of the other following subparagraphs, as applicable: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Transfer of Beneficial Interests in the Same Global Note</w:t>
      </w:r>
      <w:r>
        <w:rPr>
          <w:rFonts w:ascii="Times New Roman" w:hAnsi="Times New Roman"/>
          <w:sz w:val="20"/>
        </w:rPr>
        <w:t xml:space="preserve">. Beneficial interests in any Global Note may be transferred to Persons who take delivery thereof in the form of a beneficial interest in the same Global Note. No written orders or instructions shall be required to be delivered to the Registrar to effect the transfers described in this Section 2.06(b)(1).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All Other Transfers and Exchanges of Beneficial Interests in Global Notes</w:t>
      </w:r>
      <w:r>
        <w:rPr>
          <w:rFonts w:ascii="Times New Roman" w:hAnsi="Times New Roman"/>
          <w:sz w:val="20"/>
        </w:rPr>
        <w:t xml:space="preserve">. In connection with all transfers and exchanges of beneficial interests that are not subject to Section 2.06(b)(1) above, the transferor of such beneficial interest must deliver to the Registrar either: </w:t>
      </w:r>
    </w:p>
    <w:p>
      <w:pPr>
        <w:pStyle w:val="TextBody"/>
        <w:bidi w:val="0"/>
        <w:spacing w:before="120" w:after="0"/>
        <w:jc w:val="left"/>
        <w:rPr>
          <w:rFonts w:ascii="Times New Roman" w:hAnsi="Times New Roman"/>
          <w:sz w:val="20"/>
        </w:rPr>
      </w:pPr>
      <w:r>
        <w:rPr>
          <w:rFonts w:ascii="Times New Roman" w:hAnsi="Times New Roman"/>
          <w:sz w:val="20"/>
        </w:rPr>
        <w:t xml:space="preserve">(A) both: </w:t>
      </w:r>
    </w:p>
    <w:p>
      <w:pPr>
        <w:pStyle w:val="TextBody"/>
        <w:bidi w:val="0"/>
        <w:spacing w:before="120" w:after="0"/>
        <w:jc w:val="left"/>
        <w:rPr>
          <w:rFonts w:ascii="Times New Roman" w:hAnsi="Times New Roman"/>
          <w:sz w:val="20"/>
        </w:rPr>
      </w:pPr>
      <w:r>
        <w:rPr>
          <w:rFonts w:ascii="Times New Roman" w:hAnsi="Times New Roman"/>
          <w:sz w:val="20"/>
        </w:rPr>
        <w:t xml:space="preserve">(i) 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 </w:t>
      </w:r>
    </w:p>
    <w:p>
      <w:pPr>
        <w:pStyle w:val="TextBody"/>
        <w:bidi w:val="0"/>
        <w:spacing w:before="120" w:after="0"/>
        <w:jc w:val="left"/>
        <w:rPr>
          <w:rFonts w:ascii="Times New Roman" w:hAnsi="Times New Roman"/>
          <w:sz w:val="20"/>
        </w:rPr>
      </w:pPr>
      <w:r>
        <w:rPr>
          <w:rFonts w:ascii="Times New Roman" w:hAnsi="Times New Roman"/>
          <w:sz w:val="20"/>
        </w:rPr>
        <w:t xml:space="preserve">(ii) instructions given in accordance with the Applicable Procedures containing information regarding the Participant account to be credited with such increase; or </w:t>
      </w:r>
    </w:p>
    <w:p>
      <w:pPr>
        <w:pStyle w:val="TextBody"/>
        <w:bidi w:val="0"/>
        <w:spacing w:before="120" w:after="0"/>
        <w:jc w:val="left"/>
        <w:rPr>
          <w:rFonts w:ascii="Times New Roman" w:hAnsi="Times New Roman"/>
          <w:sz w:val="20"/>
        </w:rPr>
      </w:pPr>
      <w:r>
        <w:rPr>
          <w:rFonts w:ascii="Times New Roman" w:hAnsi="Times New Roman"/>
          <w:sz w:val="20"/>
        </w:rPr>
        <w:t xml:space="preserve">(B) both: </w:t>
      </w:r>
    </w:p>
    <w:p>
      <w:pPr>
        <w:pStyle w:val="TextBody"/>
        <w:bidi w:val="0"/>
        <w:spacing w:before="120" w:after="0"/>
        <w:jc w:val="left"/>
        <w:rPr>
          <w:rFonts w:ascii="Times New Roman" w:hAnsi="Times New Roman"/>
          <w:sz w:val="20"/>
        </w:rPr>
      </w:pPr>
      <w:r>
        <w:rPr>
          <w:rFonts w:ascii="Times New Roman" w:hAnsi="Times New Roman"/>
          <w:sz w:val="20"/>
        </w:rPr>
        <w:t xml:space="preserve">(i) a written order from a Participant or an Indirect Participant given to the Depositary in accordance with the Applicable Procedures directing the Depositary to cause to be issued a Definitive Note in an amount equal to the beneficial interest to be transferred or exchanged; and </w:t>
      </w:r>
    </w:p>
    <w:p>
      <w:pPr>
        <w:pStyle w:val="TextBody"/>
        <w:bidi w:val="0"/>
        <w:spacing w:before="120" w:after="0"/>
        <w:jc w:val="left"/>
        <w:rPr>
          <w:rFonts w:ascii="Times New Roman" w:hAnsi="Times New Roman"/>
          <w:sz w:val="20"/>
        </w:rPr>
      </w:pPr>
      <w:r>
        <w:rPr>
          <w:rFonts w:ascii="Times New Roman" w:hAnsi="Times New Roman"/>
          <w:sz w:val="20"/>
        </w:rPr>
        <w:t xml:space="preserve">(ii) instructions given by the Depositary to the Registrar containing information regarding the Person in whose name such Definitive Note shall be registered to effect the transfer or exchange referred to in (i)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Upon satisfaction of all of the requirements for transfer or exchange of beneficial interests in Global Notes contained in this Indenture and the Notes or otherwise applicable under the Securities Act, the Trustee shall adjust the principal amount of the relevant Global Note pursuant to Section 2.06(g) hereof.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Transfer and Exchange of Beneficial Interests for Definitive Notes</w:t>
      </w:r>
      <w:r>
        <w:rPr>
          <w:rFonts w:ascii="Times New Roman" w:hAnsi="Times New Roman"/>
          <w:sz w:val="20"/>
        </w:rPr>
        <w:t xml:space="preserve">. If any holder of a beneficial interest in a Global Note proposes to exchange such beneficial interest for a Definitive Note or to transfer such beneficial interest to a Person who takes delivery thereof in the form of a Definitive Note, then, upon satisfaction of the conditions set forth in Section 2.06(b)(2) hereof, the Trustee will cause the aggregate principal amount of the applicable Global Note to be reduced accordingly pursuant to Section 2.06(g) hereof, and the Company will execute and the Trustee will authenticate upon receipt of an Authentication Order in accordance with Section 2.02 hereof and deliver to the Person designated in the instructions a Definitive Note in the appropriate principal amount. Any Definitive Note issued in exchange for a beneficial interest pursuant to this Section 2.06(c) will be registered in such name or names and in such authorized denomination or denominations as the holder of such beneficial interest requests through instructions to the Registrar from or through the Depositary and the Participant or Indirect Participant. The Trustee shall deliver such Definitive Notes to the Persons in whose names such Notes are so registered.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Transfer and Exchange of Definitive Notes for Beneficial Interests</w:t>
      </w:r>
      <w:r>
        <w:rPr>
          <w:rFonts w:ascii="Times New Roman" w:hAnsi="Times New Roman"/>
          <w:sz w:val="20"/>
        </w:rPr>
        <w:t xml:space="preserve">. A Holder of a Definitive Note may exchange such Note for a beneficial interest in a Global Note or transfer such Definitive Notes to a Person who takes delivery thereof in the form of a beneficial interest in a Global Note at any time. Upon receipt of a request for such an exchange or transfer, the Trustee will cancel the applicable Definitive Note and increase or cause to be increased the aggregate principal amount of one of the Global Notes. </w:t>
      </w:r>
    </w:p>
    <w:p>
      <w:pPr>
        <w:pStyle w:val="TextBody"/>
        <w:bidi w:val="0"/>
        <w:spacing w:before="240" w:after="0"/>
        <w:jc w:val="left"/>
        <w:rPr>
          <w:rFonts w:ascii="Times New Roman" w:hAnsi="Times New Roman"/>
          <w:sz w:val="20"/>
        </w:rPr>
      </w:pPr>
      <w:r>
        <w:rPr>
          <w:rFonts w:ascii="Times New Roman" w:hAnsi="Times New Roman"/>
          <w:sz w:val="20"/>
        </w:rPr>
        <w:t xml:space="preserve">If any such exchange or transfer from a Definitive Note to a beneficial interest is effected pursuant to this subparagraph (d) at a time when a Global Note has not yet been issued, the Company will issue and, upon receipt of an Authentication Order in accordance with Section 2.02 hereof, the Trustee will authenticate one or more Global Notes in an aggregate principal amount equal to the principal amount of Definitive Notes so transferred.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Transfer and Exchange of Definitive Notes for Definitive Notes</w:t>
      </w:r>
      <w:r>
        <w:rPr>
          <w:rFonts w:ascii="Times New Roman" w:hAnsi="Times New Roman"/>
          <w:sz w:val="20"/>
        </w:rPr>
        <w:t xml:space="preserve">. Upon request by a Holder of Definitive Notes and such Holder’s compliance with the provisions of this Section 2.06(e), the Registrar will register the transfer or exchange of Definitive Notes. Prior to such registration of transfer or exchange, the requesting Holder must present or surrender to the Registrar the Definitive Notes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by the Trustee.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Legends</w:t>
      </w:r>
      <w:r>
        <w:rPr>
          <w:rFonts w:ascii="Times New Roman" w:hAnsi="Times New Roman"/>
          <w:sz w:val="20"/>
        </w:rPr>
        <w:t xml:space="preserve">. The following legend will appear on the face of all Global Notes issued under this Supplemental Indenture unless specifically stated otherwise in the applicable provisions of this Supplemental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TWENTY-SECOND SUPPLEMENTAL INDENTURE, (2) THIS GLOBAL NOTE MAY BE EXCHANGED IN WHOLE BUT NOT IN PART PURSUANT TO SECTION 2.06(a) OF THE TWENTY-SECOND SUPPLEMENTAL INDENTURE, (3) THIS GLOBAL NOTE MAY BE DELIVERED TO THE TRUSTEE FOR CANCELLATION PURSUANT TO SECTION 309 OF THE BASE INDENTURE AND (4) THIS GLOBAL NOTE MAY BE TRANSFERRED TO A SUCCESSOR DEPOSITARY WITH THE PRIOR WRITTEN CONSENT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(“DTC”),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legend will also be included if any Notes are to be issued with original issue discount for purposes of Sections 1272, 1273 and 1275 of the United States Internal Revenue Code of 1986, as amended: </w:t>
      </w:r>
    </w:p>
    <w:p>
      <w:pPr>
        <w:pStyle w:val="TextBody"/>
        <w:bidi w:val="0"/>
        <w:spacing w:before="120" w:after="0"/>
        <w:jc w:val="left"/>
        <w:rPr/>
      </w:pPr>
      <w:r>
        <w:rPr/>
        <w:t>“</w:t>
      </w:r>
      <w:r>
        <w:rPr>
          <w:rFonts w:ascii="Times New Roman" w:hAnsi="Times New Roman"/>
          <w:sz w:val="20"/>
        </w:rPr>
        <w:t xml:space="preserve">THIS NOTE HAS BEEN ISSUED WITH ORIGINAL ISSUE DISCOUNT (“OID”) FOR PURPOSES OF SECTIONS 1272, 1273 AND 1275 OF THE UNITED STATES INTERNAL REVENUE CODE OF 1986, AS AMENDED. THE ISSUE PRICE, ORIGINAL ISSUE DATE, TOTAL AMOUNT OF OID AND YIELD TO MATURITY OF THE NOTE MAY BE OBTAINED BY CONTACTING THE TAX DIRECTOR AT MASTEC, INC., 800 S. DOUGLAS ROAD, 12TH FLOOR, CORAL GABLES, FLORIDA, 33134.”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Cancellation and/or Adjustment of Global Notes</w:t>
      </w:r>
      <w:r>
        <w:rPr>
          <w:rFonts w:ascii="Times New Roman" w:hAnsi="Times New Roman"/>
          <w:sz w:val="20"/>
        </w:rPr>
        <w:t xml:space="preserve">. At such time as all beneficial interests in a particular Global Note have been exchanged for Definitive Notes or a particular Global Note has been redeemed, repurchased or canceled in whole and not in part, each such Global Note will be returned to or retained and canceled by the Trustee in accordance with Section 309 of the Base Indenture.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will be reduced accordingly and an endorsement will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will be increased accordingly and an endorsement will be made on such Global Note by the Trustee or by the Depositary at the direction of the Trustee to reflect such increase.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General Provisions Relating to Transfers and Exchanges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 To permit registrations of transfers and exchanges, the Company will execute and the Trustee will authenticate Global Notes and Definitive Notes upon receipt of an Authentication Order in accordance with Section 2.02 hereof or at the Registrar’s request. </w:t>
      </w:r>
    </w:p>
    <w:p>
      <w:pPr>
        <w:pStyle w:val="TextBody"/>
        <w:bidi w:val="0"/>
        <w:spacing w:before="120" w:after="0"/>
        <w:jc w:val="left"/>
        <w:rPr>
          <w:rFonts w:ascii="Times New Roman" w:hAnsi="Times New Roman"/>
          <w:sz w:val="20"/>
        </w:rPr>
      </w:pPr>
      <w:r>
        <w:rPr>
          <w:rFonts w:ascii="Times New Roman" w:hAnsi="Times New Roman"/>
          <w:sz w:val="20"/>
        </w:rPr>
        <w:t xml:space="preserve">(2) No service charge shall be made to a holder of a beneficial interest in a Global Note or to a Holder of a Definitive Note for any registration of transfer or exchange, but the Company or the Trustee may require payment of a sum sufficient to cover any transfer tax or similar governmental charge payable in connection therewith (other than any such transfer taxes or similar governmental charge payable upon exchange or transfer pursuant to Sections 3.06, 4.07 and 9.05 hereof or Section 304 of the Base Indenture). </w:t>
      </w:r>
    </w:p>
    <w:p>
      <w:pPr>
        <w:pStyle w:val="TextBody"/>
        <w:bidi w:val="0"/>
        <w:spacing w:before="120" w:after="0"/>
        <w:jc w:val="left"/>
        <w:rPr>
          <w:rFonts w:ascii="Times New Roman" w:hAnsi="Times New Roman"/>
          <w:sz w:val="20"/>
        </w:rPr>
      </w:pPr>
      <w:r>
        <w:rPr>
          <w:rFonts w:ascii="Times New Roman" w:hAnsi="Times New Roman"/>
          <w:sz w:val="20"/>
        </w:rPr>
        <w:t xml:space="preserve">(3) The Registrar shall not be required to register the transfer of or exchange of any Note selected for redemption in whole or in part, except the unredeemed portion of any Note being redeemed in part. </w:t>
      </w:r>
    </w:p>
    <w:p>
      <w:pPr>
        <w:pStyle w:val="TextBody"/>
        <w:bidi w:val="0"/>
        <w:spacing w:before="120" w:after="0"/>
        <w:jc w:val="left"/>
        <w:rPr>
          <w:rFonts w:ascii="Times New Roman" w:hAnsi="Times New Roman"/>
          <w:sz w:val="20"/>
        </w:rPr>
      </w:pPr>
      <w:r>
        <w:rPr>
          <w:rFonts w:ascii="Times New Roman" w:hAnsi="Times New Roman"/>
          <w:sz w:val="20"/>
        </w:rPr>
        <w:t xml:space="preserve">(4) All Global Notes and Definitive Notes issued upon any registration of transfer or exchange of Global Notes or Definitive Notes shall be the valid obligations of the Company, evidencing the same debt, and entitled to the same benefits under this Indenture, as the Global Notes or Definitive Notes surrendered upon such registration of transfer or exchange. </w:t>
      </w:r>
    </w:p>
    <w:p>
      <w:pPr>
        <w:pStyle w:val="TextBody"/>
        <w:bidi w:val="0"/>
        <w:spacing w:before="120" w:after="0"/>
        <w:jc w:val="left"/>
        <w:rPr>
          <w:rFonts w:ascii="Times New Roman" w:hAnsi="Times New Roman"/>
          <w:sz w:val="20"/>
        </w:rPr>
      </w:pPr>
      <w:r>
        <w:rPr>
          <w:rFonts w:ascii="Times New Roman" w:hAnsi="Times New Roman"/>
          <w:sz w:val="20"/>
        </w:rPr>
        <w:t xml:space="preserve">(5) Neither the Registrar nor the Company shall be required: </w:t>
      </w:r>
    </w:p>
    <w:p>
      <w:pPr>
        <w:pStyle w:val="TextBody"/>
        <w:bidi w:val="0"/>
        <w:spacing w:before="120" w:after="0"/>
        <w:jc w:val="left"/>
        <w:rPr>
          <w:rFonts w:ascii="Times New Roman" w:hAnsi="Times New Roman"/>
          <w:sz w:val="20"/>
        </w:rPr>
      </w:pPr>
      <w:r>
        <w:rPr>
          <w:rFonts w:ascii="Times New Roman" w:hAnsi="Times New Roman"/>
          <w:sz w:val="20"/>
        </w:rPr>
        <w:t xml:space="preserve">(A) to issue, to register the transfer of or to exchange any Notes during a period beginning at the opening of business 15 days before the day of any selection of Notes for redemption under Section 3.02 hereof and ending at the close of business on the day of selection; </w:t>
      </w:r>
    </w:p>
    <w:p>
      <w:pPr>
        <w:pStyle w:val="TextBody"/>
        <w:bidi w:val="0"/>
        <w:spacing w:before="120" w:after="0"/>
        <w:jc w:val="left"/>
        <w:rPr>
          <w:rFonts w:ascii="Times New Roman" w:hAnsi="Times New Roman"/>
          <w:sz w:val="20"/>
        </w:rPr>
      </w:pPr>
      <w:r>
        <w:rPr>
          <w:rFonts w:ascii="Times New Roman" w:hAnsi="Times New Roman"/>
          <w:sz w:val="20"/>
        </w:rPr>
        <w:t xml:space="preserve">(B) to register the transfer of or to exchange any Note selected for redemption in whole or in part, except the unredeemed portion of any Note being redeemed in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to issue, to register the transfer of or exchange any Note which has been surrendered for repayment at the option of the Holder, except the portion, if any, of such Note not to be so repaid; or </w:t>
      </w:r>
    </w:p>
    <w:p>
      <w:pPr>
        <w:pStyle w:val="TextBody"/>
        <w:bidi w:val="0"/>
        <w:spacing w:before="120" w:after="0"/>
        <w:jc w:val="left"/>
        <w:rPr>
          <w:rFonts w:ascii="Times New Roman" w:hAnsi="Times New Roman"/>
          <w:sz w:val="20"/>
        </w:rPr>
      </w:pPr>
      <w:r>
        <w:rPr>
          <w:rFonts w:ascii="Times New Roman" w:hAnsi="Times New Roman"/>
          <w:sz w:val="20"/>
        </w:rPr>
        <w:t xml:space="preserve">(D) to register the transfer of or to exchange a Note between a Record Date and the next succeeding Interest Payment Date. </w:t>
      </w:r>
    </w:p>
    <w:p>
      <w:pPr>
        <w:pStyle w:val="TextBody"/>
        <w:bidi w:val="0"/>
        <w:spacing w:before="120" w:after="0"/>
        <w:jc w:val="left"/>
        <w:rPr>
          <w:rFonts w:ascii="Times New Roman" w:hAnsi="Times New Roman"/>
          <w:sz w:val="20"/>
        </w:rPr>
      </w:pPr>
      <w:r>
        <w:rPr>
          <w:rFonts w:ascii="Times New Roman" w:hAnsi="Times New Roman"/>
          <w:sz w:val="20"/>
        </w:rPr>
        <w:t xml:space="preserve">(6) Prior to due presentment for the registration of a transfer of any Note, the Trustee, any Agent and the Company shall deem and treat the Person in whose name any Note is registered as the absolute owner of such Note for the purpose of receiving payment of principal of and interest on such Notes and for all other purposes, and none of the Trustee, any Agent or the Company shall be affected by notice to the contrary. </w:t>
      </w:r>
    </w:p>
    <w:p>
      <w:pPr>
        <w:pStyle w:val="TextBody"/>
        <w:bidi w:val="0"/>
        <w:spacing w:before="120" w:after="0"/>
        <w:jc w:val="left"/>
        <w:rPr>
          <w:rFonts w:ascii="Times New Roman" w:hAnsi="Times New Roman"/>
          <w:sz w:val="20"/>
        </w:rPr>
      </w:pPr>
      <w:r>
        <w:rPr>
          <w:rFonts w:ascii="Times New Roman" w:hAnsi="Times New Roman"/>
          <w:sz w:val="20"/>
        </w:rPr>
        <w:t xml:space="preserve">(7) The Trustee shall authenticate Global Notes and Definitive Notes in accordance with the provisions of Section 2.02 hereof. </w:t>
      </w:r>
    </w:p>
    <w:p>
      <w:pPr>
        <w:pStyle w:val="TextBody"/>
        <w:bidi w:val="0"/>
        <w:spacing w:before="120" w:after="0"/>
        <w:jc w:val="left"/>
        <w:rPr>
          <w:rFonts w:ascii="Times New Roman" w:hAnsi="Times New Roman"/>
          <w:sz w:val="20"/>
        </w:rPr>
      </w:pPr>
      <w:r>
        <w:rPr>
          <w:rFonts w:ascii="Times New Roman" w:hAnsi="Times New Roman"/>
          <w:sz w:val="20"/>
        </w:rPr>
        <w:t xml:space="preserve">(8) All certifications, certificates and Opinions of Counsel required to be submitted to the Registrar pursuant to this Section 2.06 to effect a registration of transfer or exchange may be submitted by facsimile or electronic mail. </w:t>
      </w:r>
    </w:p>
    <w:p>
      <w:pPr>
        <w:pStyle w:val="TextBody"/>
        <w:bidi w:val="0"/>
        <w:spacing w:before="120" w:after="0"/>
        <w:jc w:val="left"/>
        <w:rPr>
          <w:rFonts w:ascii="Times New Roman" w:hAnsi="Times New Roman"/>
          <w:sz w:val="20"/>
        </w:rPr>
      </w:pPr>
      <w:r>
        <w:rPr>
          <w:rFonts w:ascii="Times New Roman" w:hAnsi="Times New Roman"/>
          <w:sz w:val="20"/>
        </w:rPr>
        <w:t xml:space="preserve">(9) The Trustee shall have no obligation or duty to monitor, determine or inquire as to compliance with any restrictions on transfer imposed under this Indenture or under applicable law with respect to any transfer of any interest in any Notes (including any transfers between or among Participants)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2.07 </w:t>
      </w:r>
      <w:r>
        <w:rPr>
          <w:rFonts w:ascii="Times New Roman" w:hAnsi="Times New Roman"/>
          <w:sz w:val="20"/>
          <w:u w:val="single"/>
        </w:rPr>
        <w:t>Outstanding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Section 2.07 as not outstanding. Except as set forth in Section 2.08 hereof, a Note does not cease to be outstanding because the Company or an Affiliate of the Company holds the Note. </w:t>
      </w:r>
    </w:p>
    <w:p>
      <w:pPr>
        <w:pStyle w:val="TextBody"/>
        <w:bidi w:val="0"/>
        <w:spacing w:before="240" w:after="0"/>
        <w:jc w:val="left"/>
        <w:rPr>
          <w:rFonts w:ascii="Times New Roman" w:hAnsi="Times New Roman"/>
          <w:sz w:val="20"/>
        </w:rPr>
      </w:pPr>
      <w:r>
        <w:rPr>
          <w:rFonts w:ascii="Times New Roman" w:hAnsi="Times New Roman"/>
          <w:sz w:val="20"/>
        </w:rPr>
        <w:t xml:space="preserve">If a Note is replaced pursuant to Section 306 of the Base Indenture, it ceases to be outstanding unless the Trustee and the Registrar receive proof satisfactory to it that the replaced Note is held by a protected purchaser. </w:t>
      </w:r>
    </w:p>
    <w:p>
      <w:pPr>
        <w:pStyle w:val="TextBody"/>
        <w:bidi w:val="0"/>
        <w:spacing w:before="240" w:after="0"/>
        <w:jc w:val="left"/>
        <w:rPr>
          <w:rFonts w:ascii="Times New Roman" w:hAnsi="Times New Roman"/>
          <w:sz w:val="20"/>
        </w:rPr>
      </w:pPr>
      <w:r>
        <w:rPr>
          <w:rFonts w:ascii="Times New Roman" w:hAnsi="Times New Roman"/>
          <w:sz w:val="20"/>
        </w:rPr>
        <w:t xml:space="preserve">If the principal amount of any Note is considered paid under Section 4.01 hereof, it ceases to be outstanding and interest on it ceases to accrue. </w:t>
      </w:r>
    </w:p>
    <w:p>
      <w:pPr>
        <w:pStyle w:val="TextBody"/>
        <w:bidi w:val="0"/>
        <w:spacing w:before="240" w:after="0"/>
        <w:jc w:val="left"/>
        <w:rPr>
          <w:rFonts w:ascii="Times New Roman" w:hAnsi="Times New Roman"/>
          <w:sz w:val="20"/>
        </w:rPr>
      </w:pPr>
      <w:r>
        <w:rPr>
          <w:rFonts w:ascii="Times New Roman" w:hAnsi="Times New Roman"/>
          <w:sz w:val="20"/>
        </w:rPr>
        <w:t xml:space="preserve">If the Paying Agent (other than the Company, a Subsidiary or an Affiliate of any thereof) holds, on a redemption date or the Maturity Date, money sufficient to pay all principal, premium and accrued interest with respect to the outstanding Notes payable on that date, then on and after that date such Notes will be deemed to be no longer outstanding and will cease to accrue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2.08 </w:t>
      </w:r>
      <w:r>
        <w:rPr>
          <w:rFonts w:ascii="Times New Roman" w:hAnsi="Times New Roman"/>
          <w:sz w:val="20"/>
          <w:u w:val="single"/>
        </w:rPr>
        <w:t>Treasury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whether the Holders of the required principal amount of Notes have concurred in any direction, request, waiver or consent in the exercise of any discretion, power or authority (whether contained in this Indenture or vested by operation of law) which the Trustee is required, expressly or impliedly, to exercise in or by reference to the interests of the Holders or any of them, Notes owned by the Company or by any Person directly or indirectly controlling or controlled by or under direct or indirect common control with the Company, will be considered as though not outstanding, except that for the purposes of determining whether the Trustee will be protected in relying on any such direction, waiver or consent, only Notes that a Responsible Officer of the Trustee knows are so owned will be so disregarded. </w:t>
      </w:r>
    </w:p>
    <w:p>
      <w:pPr>
        <w:pStyle w:val="TextBody"/>
        <w:bidi w:val="0"/>
        <w:spacing w:before="240" w:after="0"/>
        <w:jc w:val="left"/>
        <w:rPr>
          <w:rFonts w:ascii="Times New Roman" w:hAnsi="Times New Roman"/>
          <w:sz w:val="20"/>
        </w:rPr>
      </w:pPr>
      <w:r>
        <w:rPr>
          <w:rFonts w:ascii="Times New Roman" w:hAnsi="Times New Roman"/>
          <w:sz w:val="20"/>
        </w:rPr>
        <w:t xml:space="preserve">Section 2.09 </w:t>
      </w:r>
      <w:r>
        <w:rPr>
          <w:rFonts w:ascii="Times New Roman" w:hAnsi="Times New Roman"/>
          <w:sz w:val="20"/>
          <w:u w:val="single"/>
        </w:rPr>
        <w:t>Issuance of Additional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issue Additional Notes under this Indenture having the same ranking, interest rate, maturity and other terms (except the issue date, the price to the public and, if applicable, the initial Interest Payment Date and the date from which interest will begin to accrue) as the Initial Notes issued on the Issue Date in accordance with the procedures of Section 2.02. The Initial Notes issued on the Issue Date and any Additional Notes subsequently issued shall be treated as a single class for all purposes under this Indenture; </w:t>
      </w:r>
      <w:r>
        <w:rPr>
          <w:rFonts w:ascii="Times New Roman" w:hAnsi="Times New Roman"/>
          <w:i/>
          <w:sz w:val="20"/>
        </w:rPr>
        <w:t>provided</w:t>
      </w:r>
      <w:r>
        <w:rPr>
          <w:rFonts w:ascii="Times New Roman" w:hAnsi="Times New Roman"/>
          <w:sz w:val="20"/>
        </w:rPr>
        <w:t xml:space="preserve"> that any Additional Notes that are not fungible with the Initial Notes for U.S. federal income tax purposes will have a separate CUSIP number (or other applicable identifying number). </w:t>
      </w:r>
    </w:p>
    <w:p>
      <w:pPr>
        <w:pStyle w:val="TextBody"/>
        <w:bidi w:val="0"/>
        <w:spacing w:before="480" w:after="0"/>
        <w:jc w:val="center"/>
        <w:rPr>
          <w:rFonts w:ascii="Times New Roman" w:hAnsi="Times New Roman"/>
          <w:sz w:val="20"/>
        </w:rPr>
      </w:pPr>
      <w:r>
        <w:rPr>
          <w:rFonts w:ascii="Times New Roman" w:hAnsi="Times New Roman"/>
          <w:sz w:val="20"/>
        </w:rPr>
        <w:t xml:space="preserve">ARTICLE 3 </w:t>
      </w:r>
    </w:p>
    <w:p>
      <w:pPr>
        <w:pStyle w:val="TextBody"/>
        <w:bidi w:val="0"/>
        <w:spacing w:before="120" w:after="0"/>
        <w:jc w:val="center"/>
        <w:rPr>
          <w:rFonts w:ascii="Times New Roman" w:hAnsi="Times New Roman"/>
          <w:sz w:val="20"/>
        </w:rPr>
      </w:pPr>
      <w:r>
        <w:rPr>
          <w:rFonts w:ascii="Times New Roman" w:hAnsi="Times New Roman"/>
          <w:sz w:val="20"/>
        </w:rPr>
        <w:t xml:space="preserve">REDEMPTION AND PREPAYMENT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Notices to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elects to redeem Notes pursuant to the optional redemption provisions of Section 3.07 hereof, it must furnish to the Trustee, at least 10 days but not more than 75 days before a redemption date (unless a shorter time is acceptable to the Trustee), an Officers’ Certificate setting forth: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clause of this Indenture pursuant to which the redemption shall occur;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of Notes to be redeemed;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(4)</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price, if then ascertainable;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(5)</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CUSIP numbers;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(6)</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statement that the conditions precedent to such redemption have been satisfied.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Selection of Notes to Be Redeemed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less than all of the Notes are to be redeemed at any time, the Trustee shall select Notes for redemption or purchase as follows: </w:t>
      </w:r>
    </w:p>
    <w:p>
      <w:pPr>
        <w:pStyle w:val="TextBody"/>
        <w:bidi w:val="0"/>
        <w:spacing w:before="120" w:after="0"/>
        <w:jc w:val="left"/>
        <w:rPr>
          <w:rFonts w:ascii="Times New Roman" w:hAnsi="Times New Roman"/>
          <w:sz w:val="20"/>
        </w:rPr>
      </w:pPr>
      <w:r>
        <w:rPr>
          <w:rFonts w:ascii="Times New Roman" w:hAnsi="Times New Roman"/>
          <w:sz w:val="20"/>
        </w:rPr>
        <w:t xml:space="preserve">(1) if the Notes are listed on any national securities exchange, in compliance with the requirements of the principal national securities exchange on which the Notes are listed; or </w:t>
      </w:r>
    </w:p>
    <w:p>
      <w:pPr>
        <w:pStyle w:val="TextBody"/>
        <w:bidi w:val="0"/>
        <w:spacing w:before="120" w:after="0"/>
        <w:jc w:val="left"/>
        <w:rPr>
          <w:rFonts w:ascii="Times New Roman" w:hAnsi="Times New Roman"/>
          <w:sz w:val="20"/>
        </w:rPr>
      </w:pPr>
      <w:r>
        <w:rPr>
          <w:rFonts w:ascii="Times New Roman" w:hAnsi="Times New Roman"/>
          <w:sz w:val="20"/>
        </w:rPr>
        <w:t xml:space="preserve">(2) if the Notes are not listed on any national securities exchange, pro rata, by lot or by such other method as the Trustee in its sole discretion deems appropriate and fair in accordance with the Applicable Procedures.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partial redemption or purchase on a pro rata basis or by lot, the particular Notes to be redeemed or purchased shall be selected, unless otherwise provided herein, not less than 10 days nor more than 60 days prior to the redemption date by the Trustee from the outstanding Notes not previously called for redemption; </w:t>
      </w:r>
      <w:r>
        <w:rPr>
          <w:rFonts w:ascii="Times New Roman" w:hAnsi="Times New Roman"/>
          <w:i/>
          <w:sz w:val="20"/>
        </w:rPr>
        <w:t>provided</w:t>
      </w:r>
      <w:r>
        <w:rPr>
          <w:rFonts w:ascii="Times New Roman" w:hAnsi="Times New Roman"/>
          <w:sz w:val="20"/>
        </w:rPr>
        <w:t xml:space="preserve"> that the Company shall provide the Trustee with sufficient prior notice of such partial redemption to enable the Trustee to select the Notes for partial redemption.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promptly notify the Company in writing of the Notes selected for redemption and, in the case of any Note selected for partial redemption or purchase, the principal amount thereof to be redeemed. Notes and portions of Notes selected shall be in principal amounts of $2,000 or integral multiples of $1,000 in excess thereof; </w:t>
      </w:r>
      <w:r>
        <w:rPr>
          <w:rFonts w:ascii="Times New Roman" w:hAnsi="Times New Roman"/>
          <w:i/>
          <w:sz w:val="20"/>
        </w:rPr>
        <w:t xml:space="preserve">provided </w:t>
      </w:r>
      <w:r>
        <w:rPr>
          <w:rFonts w:ascii="Times New Roman" w:hAnsi="Times New Roman"/>
          <w:sz w:val="20"/>
        </w:rPr>
        <w:t xml:space="preserve">that no Notes of $2,000 in principal amount or less shall be redeemed in part. Except as provided in the preceding sentence, provisions of this Indenture that apply to Notes called for redemption also apply to portions of Notes called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Notice of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At least 10 days but not more than 60 days before a redemption date, the Company shall mail or cause to be mailed, by first class mail, or electronically delivered (or otherwise transmitted in accordance with the Applicable Procedures) a notice of redemption to the Trustee and each Holder whose Notes are to be redeemed at its registered address (or otherwise transmitted in accordance with the Applicable Procedures), except that redemption notices may be mailed more than 60 days prior to a redemption date if the notice is issued in connection with a defeasance of the Notes or a satisfaction and discharge of this Indenture pursuant to Articles 8 or 12 hereof. </w:t>
      </w:r>
    </w:p>
    <w:p>
      <w:pPr>
        <w:pStyle w:val="TextBody"/>
        <w:bidi w:val="0"/>
        <w:spacing w:before="240" w:after="0"/>
        <w:jc w:val="left"/>
        <w:rPr>
          <w:rFonts w:ascii="Times New Roman" w:hAnsi="Times New Roman"/>
          <w:sz w:val="20"/>
        </w:rPr>
      </w:pPr>
      <w:r>
        <w:rPr>
          <w:rFonts w:ascii="Times New Roman" w:hAnsi="Times New Roman"/>
          <w:sz w:val="20"/>
        </w:rPr>
        <w:t xml:space="preserve">The notice shall identify the Notes (including CUSIP numbers) to be redeemed and will state: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price;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if any Note is being redeemed in part, the portion of the principal amount of such Note to be redeemed and that, after the redemption date upon surrender of such Note, a new Note or Notes in principal amount equal to the unredeemed portion will be issued upon cancellation of the original Note or with respect to a Global Note a notation shall be made on Schedule A thereto to reduce the principal amount of the Global Note to an amount equal to the unredeemed portion of the Global Note surrendered; </w:t>
      </w:r>
    </w:p>
    <w:p>
      <w:pPr>
        <w:pStyle w:val="TextBody"/>
        <w:bidi w:val="0"/>
        <w:spacing w:before="120" w:after="0"/>
        <w:jc w:val="left"/>
        <w:rPr>
          <w:rFonts w:ascii="Times New Roman" w:hAnsi="Times New Roman"/>
          <w:sz w:val="20"/>
        </w:rPr>
      </w:pPr>
      <w:r>
        <w:rPr>
          <w:rFonts w:ascii="Times New Roman" w:hAnsi="Times New Roman"/>
          <w:sz w:val="20"/>
        </w:rPr>
        <w:t xml:space="preserve">(4) the name and address of the Paying Agent; </w:t>
      </w:r>
    </w:p>
    <w:p>
      <w:pPr>
        <w:pStyle w:val="TextBody"/>
        <w:bidi w:val="0"/>
        <w:spacing w:before="120" w:after="0"/>
        <w:jc w:val="left"/>
        <w:rPr>
          <w:rFonts w:ascii="Times New Roman" w:hAnsi="Times New Roman"/>
          <w:sz w:val="20"/>
        </w:rPr>
      </w:pPr>
      <w:r>
        <w:rPr>
          <w:rFonts w:ascii="Times New Roman" w:hAnsi="Times New Roman"/>
          <w:sz w:val="20"/>
        </w:rPr>
        <w:t xml:space="preserve">(5) that Notes called for redemption must be surrendered to the Paying Agent to collect the redemption price; </w:t>
      </w:r>
    </w:p>
    <w:p>
      <w:pPr>
        <w:pStyle w:val="TextBody"/>
        <w:bidi w:val="0"/>
        <w:spacing w:before="120" w:after="0"/>
        <w:jc w:val="left"/>
        <w:rPr>
          <w:rFonts w:ascii="Times New Roman" w:hAnsi="Times New Roman"/>
          <w:sz w:val="20"/>
        </w:rPr>
      </w:pPr>
      <w:r>
        <w:rPr>
          <w:rFonts w:ascii="Times New Roman" w:hAnsi="Times New Roman"/>
          <w:sz w:val="20"/>
        </w:rPr>
        <w:t xml:space="preserve">(6) that, unless the Company defaults in making such redemption payment, interest on Notes (or portion thereof) called for redemption ceases to accrue on and after the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(7) the paragraph of the Notes and/or Section of this Indenture pursuant to which the Notes called for redemption are being redeemed; </w:t>
      </w:r>
    </w:p>
    <w:p>
      <w:pPr>
        <w:pStyle w:val="TextBody"/>
        <w:bidi w:val="0"/>
        <w:spacing w:before="120" w:after="0"/>
        <w:jc w:val="left"/>
        <w:rPr>
          <w:rFonts w:ascii="Times New Roman" w:hAnsi="Times New Roman"/>
          <w:sz w:val="20"/>
        </w:rPr>
      </w:pPr>
      <w:r>
        <w:rPr>
          <w:rFonts w:ascii="Times New Roman" w:hAnsi="Times New Roman"/>
          <w:sz w:val="20"/>
        </w:rPr>
        <w:t xml:space="preserve">(8) whether the redemption of the Notes is subject to one or more conditions precedent; and </w:t>
      </w:r>
    </w:p>
    <w:p>
      <w:pPr>
        <w:pStyle w:val="TextBody"/>
        <w:bidi w:val="0"/>
        <w:spacing w:before="120" w:after="0"/>
        <w:jc w:val="left"/>
        <w:rPr>
          <w:rFonts w:ascii="Times New Roman" w:hAnsi="Times New Roman"/>
          <w:sz w:val="20"/>
        </w:rPr>
      </w:pPr>
      <w:r>
        <w:rPr>
          <w:rFonts w:ascii="Times New Roman" w:hAnsi="Times New Roman"/>
          <w:sz w:val="20"/>
        </w:rPr>
        <w:t xml:space="preserve">(9) that no representation is made as to the correctness or accuracy of the CUSIP number, if any, listed in such notice or printed on the Notes. </w:t>
      </w:r>
    </w:p>
    <w:p>
      <w:pPr>
        <w:pStyle w:val="TextBody"/>
        <w:bidi w:val="0"/>
        <w:spacing w:before="240" w:after="0"/>
        <w:jc w:val="left"/>
        <w:rPr>
          <w:rFonts w:ascii="Times New Roman" w:hAnsi="Times New Roman"/>
          <w:sz w:val="20"/>
        </w:rPr>
      </w:pPr>
      <w:r>
        <w:rPr>
          <w:rFonts w:ascii="Times New Roman" w:hAnsi="Times New Roman"/>
          <w:sz w:val="20"/>
        </w:rPr>
        <w:t xml:space="preserve">In addition, any notice given with respect to a redemption pursuant to Section 3.07 may provide that payment of the redemption price and performance of the Company’s obligations with respect to any redemption or purchase may be performed by another Person. At the Company’s request, the Trustee will give the notice of redemption in the Company’s name and at their expense;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has delivered to the Trustee, at least 10 days (or such shorter period as shall be acceptable to the Trustee) prior to the redemption date, an Officers’ Certificate requesting that the Trustee give such notice and setting forth the information to be stated in such notice as provided in this Section 3.03. </w:t>
      </w:r>
    </w:p>
    <w:p>
      <w:pPr>
        <w:pStyle w:val="TextBody"/>
        <w:bidi w:val="0"/>
        <w:spacing w:before="240" w:after="0"/>
        <w:jc w:val="left"/>
        <w:rPr>
          <w:rFonts w:ascii="Times New Roman" w:hAnsi="Times New Roman"/>
          <w:sz w:val="20"/>
        </w:rPr>
      </w:pPr>
      <w:r>
        <w:rPr>
          <w:rFonts w:ascii="Times New Roman" w:hAnsi="Times New Roman"/>
          <w:sz w:val="20"/>
        </w:rPr>
        <w:t xml:space="preserve">Any notice may, at the Company’s discretion, be subject to the satisfaction or waiver of one or more conditions precedent. In that case, such notice shall state the nature of such conditions precedent, and, if applicable, state that the redemption date may be delayed until the conditions are satisfied or that, if the conditions are not satisfied, such redemption may not occur and the notice may be rescinded. </w:t>
      </w:r>
    </w:p>
    <w:p>
      <w:pPr>
        <w:pStyle w:val="TextBody"/>
        <w:bidi w:val="0"/>
        <w:spacing w:before="240" w:after="0"/>
        <w:jc w:val="left"/>
        <w:rPr>
          <w:rFonts w:ascii="Times New Roman" w:hAnsi="Times New Roman"/>
          <w:sz w:val="20"/>
        </w:rPr>
      </w:pPr>
      <w:r>
        <w:rPr>
          <w:rFonts w:ascii="Times New Roman" w:hAnsi="Times New Roman"/>
          <w:sz w:val="20"/>
        </w:rPr>
        <w:t xml:space="preserve">Section 3.04 </w:t>
      </w:r>
      <w:r>
        <w:rPr>
          <w:rFonts w:ascii="Times New Roman" w:hAnsi="Times New Roman"/>
          <w:sz w:val="20"/>
          <w:u w:val="single"/>
        </w:rPr>
        <w:t>Effect of Notice of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Once notice of redemption is mailed in accordance with Section 3.03 hereof, Notes called for redemption shall, subject to the final paragraph of Section 3.03, become irrevocably due and payable on the redemption date at the redemption price. A notice of redemption may not be conditional, except as set forth in the final paragraph of Section 3.03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3.05 </w:t>
      </w:r>
      <w:r>
        <w:rPr>
          <w:rFonts w:ascii="Times New Roman" w:hAnsi="Times New Roman"/>
          <w:sz w:val="20"/>
          <w:u w:val="single"/>
        </w:rPr>
        <w:t>Deposit of Redemption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Prior to 11:00 a.m., New York City time, on the redemption date, the Company shall deposit with the Trustee or with the Paying Agent money sufficient to pay the redemption price of and accrued interest, if any, on all Notes to be redeemed on that date. The Trustee or the Paying Agent shall promptly return to the Company any money deposited with the Trustee or the Paying Agent by the Company in excess of the amounts necessary to pay the redemption price of, and accrued interest, if any, on, all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complies with the provisions of the preceding paragraph, on and after the redemption date, interest will cease to accrue on the Notes or the portions of Notes called for redemption. If a Note is redeemed on or after a Record Date but on or prior to the related Interest Payment Date, then any accrued and unpaid interest shall be paid to the Person in whose name such Note was registered at the close of business on such Record Date in accordance with the Applicable Procedures, and no additional interest will be payable to Holders whose Notes will be subject to redemption by the Company. If any Note called for redemption is not so paid upon surrender for redemption because of the failure of the Company to comply with the preceding paragraph, interest shall be paid on the unpaid principal, from the redemption date until such principal is paid, and to the extent lawful on any interest not paid on such unpaid principal, in each case at the rate provided in the Notes and in Section 4.01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3.06 </w:t>
      </w:r>
      <w:r>
        <w:rPr>
          <w:rFonts w:ascii="Times New Roman" w:hAnsi="Times New Roman"/>
          <w:sz w:val="20"/>
          <w:u w:val="single"/>
        </w:rPr>
        <w:t>Notes Redeemed in Part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surrender of a Note that is redeemed in part, the Company will issue and, upon receipt of an Authentication Order, the Trustee will authenticate for the Holder at the expense of the Company a new Note equal in principal amount to the unredeemed or unpurchased portion of the Note surrendered. </w:t>
      </w:r>
    </w:p>
    <w:p>
      <w:pPr>
        <w:pStyle w:val="TextBody"/>
        <w:bidi w:val="0"/>
        <w:spacing w:before="240" w:after="0"/>
        <w:jc w:val="left"/>
        <w:rPr>
          <w:rFonts w:ascii="Times New Roman" w:hAnsi="Times New Roman"/>
          <w:sz w:val="20"/>
        </w:rPr>
      </w:pPr>
      <w:r>
        <w:rPr>
          <w:rFonts w:ascii="Times New Roman" w:hAnsi="Times New Roman"/>
          <w:sz w:val="20"/>
        </w:rPr>
        <w:t xml:space="preserve">Section 3.07 </w:t>
      </w:r>
      <w:r>
        <w:rPr>
          <w:rFonts w:ascii="Times New Roman" w:hAnsi="Times New Roman"/>
          <w:sz w:val="20"/>
          <w:u w:val="single"/>
        </w:rPr>
        <w:t>Optional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Prior to June 30, 2036 (the “</w:t>
      </w:r>
      <w:r>
        <w:rPr>
          <w:rFonts w:ascii="Times New Roman" w:hAnsi="Times New Roman"/>
          <w:sz w:val="20"/>
          <w:u w:val="single"/>
        </w:rPr>
        <w:t>Par Call Date</w:t>
      </w:r>
      <w:r>
        <w:rPr>
          <w:rFonts w:ascii="Times New Roman" w:hAnsi="Times New Roman"/>
          <w:sz w:val="20"/>
        </w:rPr>
        <w:t xml:space="preserve">”), the Company may redeem the Notes at its option, in whole or in part, at any time and from time to time, at a redemption price (expressed as a percentage of principal amount and rounded to three decimal places) equal to the greater of: </w:t>
      </w:r>
    </w:p>
    <w:p>
      <w:pPr>
        <w:pStyle w:val="TextBody"/>
        <w:bidi w:val="0"/>
        <w:spacing w:before="120" w:after="0"/>
        <w:jc w:val="left"/>
        <w:rPr>
          <w:rFonts w:ascii="Times New Roman" w:hAnsi="Times New Roman"/>
          <w:sz w:val="20"/>
        </w:rPr>
      </w:pPr>
      <w:r>
        <w:rPr>
          <w:rFonts w:ascii="Times New Roman" w:hAnsi="Times New Roman"/>
          <w:sz w:val="20"/>
        </w:rPr>
        <w:t xml:space="preserve">(1)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20 basis points less (b) interest accrued to, but excluding, the redemption date, and </w:t>
      </w:r>
    </w:p>
    <w:p>
      <w:pPr>
        <w:pStyle w:val="TextBody"/>
        <w:bidi w:val="0"/>
        <w:spacing w:before="120" w:after="0"/>
        <w:jc w:val="left"/>
        <w:rPr>
          <w:rFonts w:ascii="Times New Roman" w:hAnsi="Times New Roman"/>
          <w:sz w:val="20"/>
        </w:rPr>
      </w:pPr>
      <w:r>
        <w:rPr>
          <w:rFonts w:ascii="Times New Roman" w:hAnsi="Times New Roman"/>
          <w:sz w:val="20"/>
        </w:rPr>
        <w:t xml:space="preserve">(2) 100% of the principal amount of the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on the principal amount being redeemed to, but excluding, the redemption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On or after the Par Call Date, the Company may redeem the Notes, in whole or in part, at any time and from time to time, at a redemption price equal to 100% of the principal amount of the Notes being redeemed plus accrued and unpaid interest on the principal amount being redeemed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(c) The Company’s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(d) Any redemption pursuant to this Section 3.07 shall be made pursuant to the provisions of Sections 3.01 through 3.06 hereof. </w:t>
      </w:r>
    </w:p>
    <w:p>
      <w:pPr>
        <w:pStyle w:val="TextBody"/>
        <w:bidi w:val="0"/>
        <w:spacing w:before="240" w:after="0"/>
        <w:jc w:val="left"/>
        <w:rPr>
          <w:rFonts w:ascii="Times New Roman" w:hAnsi="Times New Roman"/>
          <w:sz w:val="20"/>
        </w:rPr>
      </w:pPr>
      <w:r>
        <w:rPr>
          <w:rFonts w:ascii="Times New Roman" w:hAnsi="Times New Roman"/>
          <w:sz w:val="20"/>
        </w:rPr>
        <w:t xml:space="preserve">Unless the Company defaults in the payment of the redemption or purchase price, interest will cease to accrue on the Notes or portions thereof called for redemption on the applicable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Section 3.08 </w:t>
      </w:r>
      <w:r>
        <w:rPr>
          <w:rFonts w:ascii="Times New Roman" w:hAnsi="Times New Roman"/>
          <w:sz w:val="20"/>
          <w:u w:val="single"/>
        </w:rPr>
        <w:t>Mandatory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not required to make mandatory redemption or sinking fund payments with respect to the Notes. </w:t>
      </w:r>
    </w:p>
    <w:p>
      <w:pPr>
        <w:pStyle w:val="TextBody"/>
        <w:bidi w:val="0"/>
        <w:spacing w:before="480" w:after="0"/>
        <w:jc w:val="center"/>
        <w:rPr>
          <w:rFonts w:ascii="Times New Roman" w:hAnsi="Times New Roman"/>
          <w:sz w:val="20"/>
        </w:rPr>
      </w:pPr>
      <w:r>
        <w:rPr>
          <w:rFonts w:ascii="Times New Roman" w:hAnsi="Times New Roman"/>
          <w:sz w:val="20"/>
        </w:rPr>
        <w:t xml:space="preserve">ARTICLE 4 </w:t>
      </w:r>
    </w:p>
    <w:p>
      <w:pPr>
        <w:pStyle w:val="TextBody"/>
        <w:bidi w:val="0"/>
        <w:spacing w:before="120" w:after="0"/>
        <w:jc w:val="center"/>
        <w:rPr>
          <w:rFonts w:ascii="Times New Roman" w:hAnsi="Times New Roman"/>
          <w:sz w:val="20"/>
        </w:rPr>
      </w:pPr>
      <w:r>
        <w:rPr>
          <w:rFonts w:ascii="Times New Roman" w:hAnsi="Times New Roman"/>
          <w:sz w:val="20"/>
        </w:rPr>
        <w:t xml:space="preserve">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Payment of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pay or cause to be paid the principal of, premium, if any, and interest, if any, on, the Notes on the dates and in the manner provided in the Notes. Principal, premium, if any, and interest shall be considered paid on the date due if the Paying Agent, if other than the Company or a Subsidiary thereof, holds as of 11:00 a.m. Eastern Time on the due date money deposited by the Company in immediately available funds and designated for and sufficient to pay all principal of, premium, if any, and interest then due.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pay interest on overdue principal at the rate of interest specified therefor in the Notes, and it shall pay interest on overdue installments of interest at the same rate of interest borne by the Notes to the extent lawful. </w:t>
      </w:r>
    </w:p>
    <w:p>
      <w:pPr>
        <w:pStyle w:val="TextBody"/>
        <w:bidi w:val="0"/>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Maintenance of Office or Agency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maintain in The Borough of Manhattan, the City of New York, an office or agency (which may be an office of the Trustee or an affiliate of the Trustee, Registrar or co-registrar) where Notes may be surrendered for registration of transfer or for exchange and where notices and demands to or upon the Company in respect of the Notes and this Indenture may be served. The Company shall give prompt written notice to the Trustee of the location, and any change in the location, of such office or agency. If at any time the Company fails to maintain any such required office or agency or fails to furnish the Trustee with the address thereof, such presentations, surrenders, notices and demands may be made or served at the Corporate Trust Office of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may also from time to time designate one or more other offices or agencies where the Notes may be presented or surrendered for any or all such purposes and may from time to time rescind such designations;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such designation or rescission shall in any manner relieve the Company of its obligation to maintain an office or agency in the Borough of Manhattan, the City of New York for such purposes. The Company shall give prompt written notice to the Trustee of any such designation or rescission and of any change in the location of any such other office or agency. </w:t>
      </w:r>
    </w:p>
    <w:p>
      <w:pPr>
        <w:pStyle w:val="TextBody"/>
        <w:bidi w:val="0"/>
        <w:spacing w:before="240" w:after="0"/>
        <w:jc w:val="left"/>
        <w:rPr>
          <w:rFonts w:ascii="Times New Roman" w:hAnsi="Times New Roman"/>
          <w:sz w:val="20"/>
        </w:rPr>
      </w:pPr>
      <w:r>
        <w:rPr>
          <w:rFonts w:ascii="Times New Roman" w:hAnsi="Times New Roman"/>
          <w:sz w:val="20"/>
        </w:rPr>
        <w:t xml:space="preserve">The Company hereby designates the Corporate Trust Office of the Trustee as one such office or agency of the Company in accordance with Section 2.03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4.03 </w:t>
      </w:r>
      <w:r>
        <w:rPr>
          <w:rFonts w:ascii="Times New Roman" w:hAnsi="Times New Roman"/>
          <w:sz w:val="20"/>
          <w:u w:val="single"/>
        </w:rPr>
        <w:t>Reports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So long as any Notes are outstanding, if the Company is subject to the periodic reporting requirements of the Exchange Act, it will furnish to the Trustee and the Holders (unless such reports are available on the SEC’s Electronic Data Gathering, Analysis and Retrieval (EDGAR) system or any successor thereto) copies of the annual and quarterly reports and of the information, documents and other reports the Company is required to file with the SEC pursuant to Section 13 or Section 15(d) of the Exchange Act within 15 days after the Company is required to file such reports with the SEC. If the Company is not subject to the periodic reporting requirements of the Exchange Act, then the Company will file with the Trustee and the holders (unless such reports are available on the EDGAR system or any successor thereto) and the SEC, in accordance with the SEC’s rules and regulations, such of the supplementary and periodic information, documents and reports which may be required pursuant to Section 13 of the Exchange Act in respect of a security listed and registered on a national securities exchange as may be prescribed from time to time in such rules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(b) Delivery of such statements, reports, notices and other information and documents to the Trustee is for informational purposes only, and the Trustee’s receipt of the foregoing shall not constitute constructive notice of any information contained therein or determinable from information contained therein, including the Company’s compliance with any of the covenants in this Indenture (as to which the Trustee is entitled to rely exclusively on Officers’ Certificates). The Trustee is under no duty to examine such reports, information or documents to ensure compliance with the provisions of this Indenture or to ascertain the correctness or otherwise of the information or the statements contained therein. The Trustee is entitled to assume such compliance and correctness unless a Responsible Officer of the Trustee is informed otherwise. </w:t>
      </w:r>
    </w:p>
    <w:p>
      <w:pPr>
        <w:pStyle w:val="TextBody"/>
        <w:bidi w:val="0"/>
        <w:spacing w:before="240" w:after="0"/>
        <w:jc w:val="left"/>
        <w:rPr>
          <w:rFonts w:ascii="Times New Roman" w:hAnsi="Times New Roman"/>
          <w:sz w:val="20"/>
        </w:rPr>
      </w:pPr>
      <w:r>
        <w:rPr>
          <w:rFonts w:ascii="Times New Roman" w:hAnsi="Times New Roman"/>
          <w:sz w:val="20"/>
        </w:rPr>
        <w:t xml:space="preserve">(c) For the avoidance of doubt, this Section 4.03 supersedes Sections 703 and 1005 of the Base Indenture with respect to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4.04 </w:t>
      </w:r>
      <w:r>
        <w:rPr>
          <w:rFonts w:ascii="Times New Roman" w:hAnsi="Times New Roman"/>
          <w:sz w:val="20"/>
          <w:u w:val="single"/>
        </w:rPr>
        <w:t>Compliance Certificate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shall deliver to the Trustee, within 90 days after the close of each fiscal year, an Officers’ Certificate stating that a review of the activities of the Company and its Restricted Subsidiaries and the Company’s and its Restricted Subsidiaries’ performance under this Indenture has been made under the supervision of the signing Officers with a view to determining whether it has kept, observed, performed and fulfilled its obligations under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Indenture and further stating, as to each such Officer signing such certificate, that to the best of his or her knowledge, the Company and its Restricted Subsidiaries during such preceding fiscal year have kept, observed, performed and fulfilled each and every such covenant and no Default or Event of Default occurred during such year and at the date of such certificate there is no Default or Event of Default that has occurred and is continuing or, if such signers do know of such Default or Event of Default, the certificate shall describe its status with particularity. The applicable Officers’ Certificate shall also notify the Trustee should the Company or any of its Restricted Subsidiaries elect to change the manner in which it fixes its fiscal year end. </w:t>
      </w:r>
    </w:p>
    <w:p>
      <w:pPr>
        <w:pStyle w:val="TextBody"/>
        <w:bidi w:val="0"/>
        <w:spacing w:before="240" w:after="0"/>
        <w:jc w:val="left"/>
        <w:rPr>
          <w:rFonts w:ascii="Times New Roman" w:hAnsi="Times New Roman"/>
          <w:sz w:val="20"/>
        </w:rPr>
      </w:pPr>
      <w:r>
        <w:rPr>
          <w:rFonts w:ascii="Times New Roman" w:hAnsi="Times New Roman"/>
          <w:sz w:val="20"/>
        </w:rPr>
        <w:t xml:space="preserve">(b) So long as any of the Notes are outstanding, and within ten (10) Business Days of the Company becoming aware of any Default or Event of Default, the Company shall deliver to the Trustee, in the event that any Officer becomes aware of any Default or Event of Default in the performance of any covenant, agreement or condition contained in this Indenture, an Officers’ Certificate specifying the Default or Event of Default and describing its status with particularity. </w:t>
      </w:r>
    </w:p>
    <w:p>
      <w:pPr>
        <w:pStyle w:val="TextBody"/>
        <w:bidi w:val="0"/>
        <w:spacing w:before="240" w:after="0"/>
        <w:jc w:val="left"/>
        <w:rPr>
          <w:rFonts w:ascii="Times New Roman" w:hAnsi="Times New Roman"/>
          <w:sz w:val="20"/>
        </w:rPr>
      </w:pPr>
      <w:r>
        <w:rPr>
          <w:rFonts w:ascii="Times New Roman" w:hAnsi="Times New Roman"/>
          <w:sz w:val="20"/>
        </w:rPr>
        <w:t xml:space="preserve">(c) Except with respect to receipt of Note payments and any Default or Event of Default information contained in the Officers’ Certificate delivered to it pursuant to this Section 4.04, the Trustee shall have no duty to review, ascertain or confirm the Company’s compliance with, or the breach of any representation, warranty of covenant made in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4.05 </w:t>
      </w:r>
      <w:r>
        <w:rPr>
          <w:rFonts w:ascii="Times New Roman" w:hAnsi="Times New Roman"/>
          <w:sz w:val="20"/>
          <w:u w:val="single"/>
        </w:rPr>
        <w:t>Limitation on Liens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Except as provided below, the Company shall not, and shall not permit any of its Restricted Subsidiaries to, directly or indirectly, create, incur, issue, assume, guarantee or permit to exist any indebtedness for borrowed money (“</w:t>
      </w:r>
      <w:r>
        <w:rPr>
          <w:rFonts w:ascii="Times New Roman" w:hAnsi="Times New Roman"/>
          <w:sz w:val="20"/>
          <w:u w:val="single"/>
        </w:rPr>
        <w:t>Indebtedness</w:t>
      </w:r>
      <w:r>
        <w:rPr>
          <w:rFonts w:ascii="Times New Roman" w:hAnsi="Times New Roman"/>
          <w:sz w:val="20"/>
        </w:rPr>
        <w:t xml:space="preserve">”) secured by a Lien on any Principal Property or any shares of stock of or any Indebtedness of any Restricted Subsidiary, whether owned on the date of issuance of the Notes or thereafter acquired, unless the Company substantially contemporaneously secures the Notes equally and ratably with (or prior to) such Indebtedness until such time as such Indebtedness is no longer secured by a Lien on any Principal Property or any shares of stock of or any Indebtedness of any Restricted Subsidiary. </w:t>
      </w:r>
    </w:p>
    <w:p>
      <w:pPr>
        <w:pStyle w:val="TextBody"/>
        <w:bidi w:val="0"/>
        <w:spacing w:before="240" w:after="0"/>
        <w:jc w:val="left"/>
        <w:rPr>
          <w:rFonts w:ascii="Times New Roman" w:hAnsi="Times New Roman"/>
          <w:sz w:val="20"/>
        </w:rPr>
      </w:pPr>
      <w:r>
        <w:rPr>
          <w:rFonts w:ascii="Times New Roman" w:hAnsi="Times New Roman"/>
          <w:sz w:val="20"/>
        </w:rPr>
        <w:t xml:space="preserve">(b) The foregoing restrictions shall not apply to Indebtedness secured by: </w:t>
      </w:r>
    </w:p>
    <w:p>
      <w:pPr>
        <w:pStyle w:val="TextBody"/>
        <w:bidi w:val="0"/>
        <w:spacing w:before="120" w:after="0"/>
        <w:jc w:val="left"/>
        <w:rPr>
          <w:rFonts w:ascii="Times New Roman" w:hAnsi="Times New Roman"/>
          <w:sz w:val="20"/>
        </w:rPr>
      </w:pPr>
      <w:r>
        <w:rPr>
          <w:rFonts w:ascii="Times New Roman" w:hAnsi="Times New Roman"/>
          <w:sz w:val="20"/>
        </w:rPr>
        <w:t xml:space="preserve">(1) Liens on any property, shares of stock or Indebtedness of any Person existing at the time such Person becomes a Restricted Subsidiary; </w:t>
      </w:r>
      <w:r>
        <w:rPr>
          <w:rFonts w:ascii="Times New Roman" w:hAnsi="Times New Roman"/>
          <w:i/>
          <w:sz w:val="20"/>
        </w:rPr>
        <w:t xml:space="preserve">provided </w:t>
      </w:r>
      <w:r>
        <w:rPr>
          <w:rFonts w:ascii="Times New Roman" w:hAnsi="Times New Roman"/>
          <w:sz w:val="20"/>
        </w:rPr>
        <w:t xml:space="preserve">that any such Lien does not extend to or cover any property or assets of the Company or any Restricted Subsidiary of the Company other than the property, shares of stock or Indebtedness acquired; </w:t>
      </w:r>
    </w:p>
    <w:p>
      <w:pPr>
        <w:pStyle w:val="TextBody"/>
        <w:bidi w:val="0"/>
        <w:spacing w:before="120" w:after="0"/>
        <w:jc w:val="left"/>
        <w:rPr>
          <w:rFonts w:ascii="Times New Roman" w:hAnsi="Times New Roman"/>
          <w:sz w:val="20"/>
        </w:rPr>
      </w:pPr>
      <w:r>
        <w:rPr>
          <w:rFonts w:ascii="Times New Roman" w:hAnsi="Times New Roman"/>
          <w:sz w:val="20"/>
        </w:rPr>
        <w:t xml:space="preserve">(2) Liens on any property, shares of stock or Indebtedness existing at the time of acquisition of such property, stock or Indebtedness by the Company or a Restricted Subsidiary; </w:t>
      </w:r>
      <w:r>
        <w:rPr>
          <w:rFonts w:ascii="Times New Roman" w:hAnsi="Times New Roman"/>
          <w:i/>
          <w:sz w:val="20"/>
        </w:rPr>
        <w:t>provided</w:t>
      </w:r>
      <w:r>
        <w:rPr>
          <w:rFonts w:ascii="Times New Roman" w:hAnsi="Times New Roman"/>
          <w:sz w:val="20"/>
        </w:rPr>
        <w:t xml:space="preserve"> that such Liens are not created, incurred or assumed in connection with, or in contemplation of, such acquisition;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Liens to secure (i) the payment of all or any part of the price of acquisition, construction, alteration, expansion, repair or improvement of property, assets or stock by the Company or a Restricted Subsidiary, (ii) any Indebtedness incurred by the Company or a Restricted Subsidiary prior to, at the time of or within one year after the later of the acquisition or completion of construction, alteration, expansion, repair or improvement of such property (including any improvements on an existing property), which Indebtedness is incurred for the purpose of financing all or any part of the purchase price thereof or construction, alteration, expansion, repair or improvements thereon or (iii) any other Finance Lease Obligation; </w:t>
      </w:r>
      <w:r>
        <w:rPr>
          <w:rFonts w:ascii="Times New Roman" w:hAnsi="Times New Roman"/>
          <w:i/>
          <w:sz w:val="20"/>
        </w:rPr>
        <w:t xml:space="preserve">provided </w:t>
      </w:r>
      <w:r>
        <w:rPr>
          <w:rFonts w:ascii="Times New Roman" w:hAnsi="Times New Roman"/>
          <w:sz w:val="20"/>
        </w:rPr>
        <w:t xml:space="preserve">that, in the case of any such acquisition, construction, alteration, expansion, repair, improvement or Finance Lease Obligation, the Lien shall not apply to any property theretofore owned by the Company or a Restricted Subsidiary, other than, in the case of any such construction, alteration, expansion, repair, improvement or Finance Lease Obligation, any theretofore substantially unimproved real property on which the property or improvement so constructed is located; </w:t>
      </w:r>
    </w:p>
    <w:p>
      <w:pPr>
        <w:pStyle w:val="TextBody"/>
        <w:bidi w:val="0"/>
        <w:spacing w:before="120" w:after="0"/>
        <w:jc w:val="left"/>
        <w:rPr>
          <w:rFonts w:ascii="Times New Roman" w:hAnsi="Times New Roman"/>
          <w:sz w:val="20"/>
        </w:rPr>
      </w:pPr>
      <w:r>
        <w:rPr>
          <w:rFonts w:ascii="Times New Roman" w:hAnsi="Times New Roman"/>
          <w:sz w:val="20"/>
        </w:rPr>
        <w:t xml:space="preserve">(4) Liens securing Indebtedness of the Company or a Restricted Subsidiary owing to the Company, a Restricted Subsidiary or a Wholly Owned Subsidiary; </w:t>
      </w:r>
    </w:p>
    <w:p>
      <w:pPr>
        <w:pStyle w:val="TextBody"/>
        <w:bidi w:val="0"/>
        <w:spacing w:before="120" w:after="0"/>
        <w:jc w:val="left"/>
        <w:rPr>
          <w:rFonts w:ascii="Times New Roman" w:hAnsi="Times New Roman"/>
          <w:sz w:val="20"/>
        </w:rPr>
      </w:pPr>
      <w:r>
        <w:rPr>
          <w:rFonts w:ascii="Times New Roman" w:hAnsi="Times New Roman"/>
          <w:sz w:val="20"/>
        </w:rPr>
        <w:t xml:space="preserve">(5) Liens on property of a Person existing at the time such Person is merged into or consolidated with the Company or a Restricted Subsidiary or at the time of a sale, lease or other disposition of the properties of a Person as an entirety or substantially as an entirety to the Company or a Restricted Subsidiary; </w:t>
      </w:r>
      <w:r>
        <w:rPr>
          <w:rFonts w:ascii="Times New Roman" w:hAnsi="Times New Roman"/>
          <w:i/>
          <w:sz w:val="20"/>
        </w:rPr>
        <w:t xml:space="preserve">provided </w:t>
      </w:r>
      <w:r>
        <w:rPr>
          <w:rFonts w:ascii="Times New Roman" w:hAnsi="Times New Roman"/>
          <w:sz w:val="20"/>
        </w:rPr>
        <w:t xml:space="preserve">that any such Lien does not extend to or cover any property of the Company or any Restricted Subsidiary of the Company other than the property acquired; </w:t>
      </w:r>
    </w:p>
    <w:p>
      <w:pPr>
        <w:pStyle w:val="TextBody"/>
        <w:bidi w:val="0"/>
        <w:spacing w:before="120" w:after="0"/>
        <w:jc w:val="left"/>
        <w:rPr>
          <w:rFonts w:ascii="Times New Roman" w:hAnsi="Times New Roman"/>
          <w:sz w:val="20"/>
        </w:rPr>
      </w:pPr>
      <w:r>
        <w:rPr>
          <w:rFonts w:ascii="Times New Roman" w:hAnsi="Times New Roman"/>
          <w:sz w:val="20"/>
        </w:rPr>
        <w:t xml:space="preserve">(6) Liens on property of the Company or a Restricted Subsidiary in favor of the United States or any state thereof, or any department, agency or instrumentality or political subdivision of the United States or any state thereof, or in favor of any other country or any political subdivision thereof, or any department, agency or instrumentality of such country or political subdivision, to secure partial, progress, advance or other payments or performance pursuant to any contract or statute or to secure any Indebtedness incurred for the purpose of financing all or any part of the purchase price or the cost of construction of the property subject to such Liens; </w:t>
      </w:r>
    </w:p>
    <w:p>
      <w:pPr>
        <w:pStyle w:val="TextBody"/>
        <w:bidi w:val="0"/>
        <w:spacing w:before="120" w:after="0"/>
        <w:jc w:val="left"/>
        <w:rPr>
          <w:rFonts w:ascii="Times New Roman" w:hAnsi="Times New Roman"/>
          <w:sz w:val="20"/>
        </w:rPr>
      </w:pPr>
      <w:r>
        <w:rPr>
          <w:rFonts w:ascii="Times New Roman" w:hAnsi="Times New Roman"/>
          <w:sz w:val="20"/>
        </w:rPr>
        <w:t xml:space="preserve">(7) Liens existing as of, or provided for under the terms of agreements existing as of, the Issue Date; </w:t>
      </w:r>
    </w:p>
    <w:p>
      <w:pPr>
        <w:pStyle w:val="TextBody"/>
        <w:bidi w:val="0"/>
        <w:spacing w:before="120" w:after="0"/>
        <w:jc w:val="left"/>
        <w:rPr>
          <w:rFonts w:ascii="Times New Roman" w:hAnsi="Times New Roman"/>
          <w:sz w:val="20"/>
        </w:rPr>
      </w:pPr>
      <w:r>
        <w:rPr>
          <w:rFonts w:ascii="Times New Roman" w:hAnsi="Times New Roman"/>
          <w:sz w:val="20"/>
        </w:rPr>
        <w:t xml:space="preserve">(8) Liens resulting from the deposit of funds or evidences of Indebtedness in trust for the purpose of defeasing Indebtedness of the Company or any of its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(9) Liens upon specific items of inventory or other goods and proceeds of the Company or any of its Restricted Subsidiaries securing the Company’s or such Restricted Subsidiary’s obligations in respect of bankers’ acceptances or letters of credit issued or created for the account of such Person to facilitate the purchase, shipment or storage of such inventory or other goods;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 Any extension, renewal or replacement (or successive extensions, renewals or replacements) in whole or in part of any Liens referred to in clauses (1) through (9) above;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the principal amount of Indebtedness so secured shall not exceed the principal amount of Indebtedness so secured at the time of such extension, renewal or replacement (</w:t>
      </w:r>
      <w:r>
        <w:rPr>
          <w:rFonts w:ascii="Times New Roman" w:hAnsi="Times New Roman"/>
          <w:i/>
          <w:sz w:val="20"/>
        </w:rPr>
        <w:t>plus</w:t>
      </w:r>
      <w:r>
        <w:rPr>
          <w:rFonts w:ascii="Times New Roman" w:hAnsi="Times New Roman"/>
          <w:sz w:val="20"/>
        </w:rPr>
        <w:t>, in each case, the aggregate amount of premiums, other payments, costs and expenses related to any refinancing, refunding, extension, renewal or replacement of such Indebtedness), and that such extension, renewal or replacement shall be limited to all or a part of the property which secured the Liens so extended, renewed or replaced (</w:t>
      </w:r>
      <w:r>
        <w:rPr>
          <w:rFonts w:ascii="Times New Roman" w:hAnsi="Times New Roman"/>
          <w:i/>
          <w:sz w:val="20"/>
        </w:rPr>
        <w:t xml:space="preserve">plus </w:t>
      </w:r>
      <w:r>
        <w:rPr>
          <w:rFonts w:ascii="Times New Roman" w:hAnsi="Times New Roman"/>
          <w:sz w:val="20"/>
        </w:rPr>
        <w:t xml:space="preserve">improvements and construction on such property); </w:t>
      </w:r>
    </w:p>
    <w:p>
      <w:pPr>
        <w:pStyle w:val="TextBody"/>
        <w:bidi w:val="0"/>
        <w:spacing w:before="120" w:after="0"/>
        <w:jc w:val="left"/>
        <w:rPr>
          <w:rFonts w:ascii="Times New Roman" w:hAnsi="Times New Roman"/>
          <w:sz w:val="20"/>
        </w:rPr>
      </w:pPr>
      <w:r>
        <w:rPr>
          <w:rFonts w:ascii="Times New Roman" w:hAnsi="Times New Roman"/>
          <w:sz w:val="20"/>
        </w:rPr>
        <w:t xml:space="preserve">(11) Liens securing the payment of taxes, special assessments, governmental charges or claims (i) which are not overdue for a period of more than sixty days or (ii)(x) the validity of which is being contested by the Person being charged in good faith by appropriate proceedings, and (y) as to which it has set aside on its books adequate reserves to the extent required by GAAP; </w:t>
      </w:r>
    </w:p>
    <w:p>
      <w:pPr>
        <w:pStyle w:val="TextBody"/>
        <w:bidi w:val="0"/>
        <w:spacing w:before="120" w:after="0"/>
        <w:jc w:val="left"/>
        <w:rPr>
          <w:rFonts w:ascii="Times New Roman" w:hAnsi="Times New Roman"/>
          <w:sz w:val="20"/>
        </w:rPr>
      </w:pPr>
      <w:r>
        <w:rPr>
          <w:rFonts w:ascii="Times New Roman" w:hAnsi="Times New Roman"/>
          <w:sz w:val="20"/>
        </w:rPr>
        <w:t xml:space="preserve">(12) deposits, pledges or Liens on or securing property or shares of stock under workers’ compensation, unemployment insurance and social security laws or similar obligations, or to secure the performance of bids, tenders, contracts (other than for the repayment of borrowed money), leases, bankers’ acceptances or completion guarantees, or to secure statutory or regulatory obligations or surety or appeal bonds and related indemnification obligations in respect thereof, government contracts, performance and return-of-money bonds and other obligations of a similar nature, or to secure indemnity, performance or other similar bonds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(13) any attachment Lien being contested in good faith and by proceedings promptly initiated and diligently conducted, unless the attachment giving rise thereto will not, within sixty days after the entry thereof, have been discharged or fully bonded or will not have been discharged within sixty days after the termination of any such bond; </w:t>
      </w:r>
    </w:p>
    <w:p>
      <w:pPr>
        <w:pStyle w:val="TextBody"/>
        <w:bidi w:val="0"/>
        <w:spacing w:before="120" w:after="0"/>
        <w:jc w:val="left"/>
        <w:rPr>
          <w:rFonts w:ascii="Times New Roman" w:hAnsi="Times New Roman"/>
          <w:sz w:val="20"/>
        </w:rPr>
      </w:pPr>
      <w:r>
        <w:rPr>
          <w:rFonts w:ascii="Times New Roman" w:hAnsi="Times New Roman"/>
          <w:sz w:val="20"/>
        </w:rPr>
        <w:t xml:space="preserve">(14) any Lien securing or arising from the rendering of a final judgment, decree, award or order unless (i) the judgment, decree, award or order it secures will not, within sixty days after the entry thereof, have been discharged or execution thereof stayed pending appeal, or will not have been discharged within sixty days after the expiration of any such stay or (ii) the judgment, decree, award or order it secures results in an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(15) easements, rights-of-way, zoning restrictions, servitudes, encroachments, title defects or other irregularities, and servicing agreements, development agreements, site plan agreements, subdivision agreements, facilities sharing agreements, cost sharing agreements and other agreements, and other restrictions, charges or encumbrances not materially interfering with the ordinary conduct of the business; </w:t>
      </w:r>
    </w:p>
    <w:p>
      <w:pPr>
        <w:pStyle w:val="TextBody"/>
        <w:bidi w:val="0"/>
        <w:spacing w:before="120" w:after="0"/>
        <w:jc w:val="left"/>
        <w:rPr>
          <w:rFonts w:ascii="Times New Roman" w:hAnsi="Times New Roman"/>
          <w:sz w:val="20"/>
        </w:rPr>
      </w:pPr>
      <w:r>
        <w:rPr>
          <w:rFonts w:ascii="Times New Roman" w:hAnsi="Times New Roman"/>
          <w:sz w:val="20"/>
        </w:rPr>
        <w:t xml:space="preserve">(16) any statutory or governmental Lien or a Lien arising by operation of law, or any mechanics’, repairmen’s, materialmen’s, supplier’s, carrier’s, landlord’s, warehousemen’s, construction contractor’s or similar Lien or pursuant to customary reservations or retentions of title in each case for sums not yet overdue for a period of more than sixty days or that are bonded or being contested in good faith by appropriate proceedings and any undetermined Lien that is incidental to construction, development, improvement or repair;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(17) leases or subleases granted to others that do not materially interfere with the ordinary course of business of the Company and its Subsidiaries, taken as a whole, and any Lien of a lessor in the property subject to any operating lease or short-term rental; </w:t>
      </w:r>
    </w:p>
    <w:p>
      <w:pPr>
        <w:pStyle w:val="TextBody"/>
        <w:bidi w:val="0"/>
        <w:spacing w:before="120" w:after="0"/>
        <w:jc w:val="left"/>
        <w:rPr>
          <w:rFonts w:ascii="Times New Roman" w:hAnsi="Times New Roman"/>
          <w:sz w:val="20"/>
        </w:rPr>
      </w:pPr>
      <w:r>
        <w:rPr>
          <w:rFonts w:ascii="Times New Roman" w:hAnsi="Times New Roman"/>
          <w:sz w:val="20"/>
        </w:rPr>
        <w:t xml:space="preserve">(18) Liens encumbering property or assets under construction or arising from progress or partial payments by a third party relating to such property or assets; </w:t>
      </w:r>
    </w:p>
    <w:p>
      <w:pPr>
        <w:pStyle w:val="TextBody"/>
        <w:bidi w:val="0"/>
        <w:spacing w:before="120" w:after="0"/>
        <w:jc w:val="left"/>
        <w:rPr>
          <w:rFonts w:ascii="Times New Roman" w:hAnsi="Times New Roman"/>
          <w:sz w:val="20"/>
        </w:rPr>
      </w:pPr>
      <w:r>
        <w:rPr>
          <w:rFonts w:ascii="Times New Roman" w:hAnsi="Times New Roman"/>
          <w:sz w:val="20"/>
        </w:rPr>
        <w:t xml:space="preserve">(19) Liens arising from filing Uniform Commercial Code financing statements (or equivalent filings, registrations or agreements in foreign jurisdictions) regarding operating leases or short-term rentals; </w:t>
      </w:r>
    </w:p>
    <w:p>
      <w:pPr>
        <w:pStyle w:val="TextBody"/>
        <w:bidi w:val="0"/>
        <w:spacing w:before="120" w:after="0"/>
        <w:jc w:val="left"/>
        <w:rPr>
          <w:rFonts w:ascii="Times New Roman" w:hAnsi="Times New Roman"/>
          <w:sz w:val="20"/>
        </w:rPr>
      </w:pPr>
      <w:r>
        <w:rPr>
          <w:rFonts w:ascii="Times New Roman" w:hAnsi="Times New Roman"/>
          <w:sz w:val="20"/>
        </w:rPr>
        <w:t xml:space="preserve">(20) Liens encumbering customary initial deposits and margin deposits, and other Liens that are within the general parameters customary in the industry and incurred in the ordinary course of business, in each case, securing Indebtedness under interest rate agreements, currency agreements or commodity agreements designed to protect the Company or any of its Subsidiaries from fluctuations in interest rates, currencies or the price of commodities; </w:t>
      </w:r>
    </w:p>
    <w:p>
      <w:pPr>
        <w:pStyle w:val="TextBody"/>
        <w:bidi w:val="0"/>
        <w:spacing w:before="120" w:after="0"/>
        <w:jc w:val="left"/>
        <w:rPr>
          <w:rFonts w:ascii="Times New Roman" w:hAnsi="Times New Roman"/>
          <w:sz w:val="20"/>
        </w:rPr>
      </w:pPr>
      <w:r>
        <w:rPr>
          <w:rFonts w:ascii="Times New Roman" w:hAnsi="Times New Roman"/>
          <w:sz w:val="20"/>
        </w:rPr>
        <w:t xml:space="preserve">(21) Liens on or sales of receivables; </w:t>
      </w:r>
    </w:p>
    <w:p>
      <w:pPr>
        <w:pStyle w:val="TextBody"/>
        <w:bidi w:val="0"/>
        <w:spacing w:before="120" w:after="0"/>
        <w:jc w:val="left"/>
        <w:rPr>
          <w:rFonts w:ascii="Times New Roman" w:hAnsi="Times New Roman"/>
          <w:sz w:val="20"/>
        </w:rPr>
      </w:pPr>
      <w:r>
        <w:rPr>
          <w:rFonts w:ascii="Times New Roman" w:hAnsi="Times New Roman"/>
          <w:sz w:val="20"/>
        </w:rPr>
        <w:t xml:space="preserve">(22) Liens in favor of governmental bodies to secure advance or progress payments pursuant to any contract or statute and Liens in favor of governmental bodies in connection with industrial revenue, pollution control, private activity bonds or similar financing; </w:t>
      </w:r>
    </w:p>
    <w:p>
      <w:pPr>
        <w:pStyle w:val="TextBody"/>
        <w:bidi w:val="0"/>
        <w:spacing w:before="120" w:after="0"/>
        <w:jc w:val="left"/>
        <w:rPr>
          <w:rFonts w:ascii="Times New Roman" w:hAnsi="Times New Roman"/>
          <w:sz w:val="20"/>
        </w:rPr>
      </w:pPr>
      <w:r>
        <w:rPr>
          <w:rFonts w:ascii="Times New Roman" w:hAnsi="Times New Roman"/>
          <w:sz w:val="20"/>
        </w:rPr>
        <w:t xml:space="preserve">(23) restrictions on dispositions of property, assets or stock to be disposed of pursuant to merger agreements, stock or asset purchase agreements and similar agreements, Liens on cash earnest money deposits made in connection with any letter of intent or purchase agreement and customary options, put and call arrangements, rights of first refusal and similar rights relating to investments in joint ventures and partnerships; </w:t>
      </w:r>
    </w:p>
    <w:p>
      <w:pPr>
        <w:pStyle w:val="TextBody"/>
        <w:bidi w:val="0"/>
        <w:spacing w:before="120" w:after="0"/>
        <w:jc w:val="left"/>
        <w:rPr>
          <w:rFonts w:ascii="Times New Roman" w:hAnsi="Times New Roman"/>
          <w:sz w:val="20"/>
        </w:rPr>
      </w:pPr>
      <w:r>
        <w:rPr>
          <w:rFonts w:ascii="Times New Roman" w:hAnsi="Times New Roman"/>
          <w:sz w:val="20"/>
        </w:rPr>
        <w:t xml:space="preserve">(24) Liens on machinery and equipment in favor of contract counterparties arising under contracts entered into in the ordinary course of business; </w:t>
      </w:r>
      <w:r>
        <w:rPr>
          <w:rFonts w:ascii="Times New Roman" w:hAnsi="Times New Roman"/>
          <w:i/>
          <w:sz w:val="20"/>
        </w:rPr>
        <w:t>provided</w:t>
      </w:r>
      <w:r>
        <w:rPr>
          <w:rFonts w:ascii="Times New Roman" w:hAnsi="Times New Roman"/>
          <w:sz w:val="20"/>
        </w:rPr>
        <w:t xml:space="preserve"> that such Liens secure only future performance; </w:t>
      </w:r>
    </w:p>
    <w:p>
      <w:pPr>
        <w:pStyle w:val="TextBody"/>
        <w:bidi w:val="0"/>
        <w:spacing w:before="120" w:after="0"/>
        <w:jc w:val="left"/>
        <w:rPr>
          <w:rFonts w:ascii="Times New Roman" w:hAnsi="Times New Roman"/>
          <w:sz w:val="20"/>
        </w:rPr>
      </w:pPr>
      <w:r>
        <w:rPr>
          <w:rFonts w:ascii="Times New Roman" w:hAnsi="Times New Roman"/>
          <w:sz w:val="20"/>
        </w:rPr>
        <w:t xml:space="preserve">(25) Liens granted on or after the Issue Date on any assets or capital stock of the Company or its Subsidiaries created in favor of the Holders; </w:t>
      </w:r>
    </w:p>
    <w:p>
      <w:pPr>
        <w:pStyle w:val="TextBody"/>
        <w:bidi w:val="0"/>
        <w:spacing w:before="120" w:after="0"/>
        <w:jc w:val="left"/>
        <w:rPr>
          <w:rFonts w:ascii="Times New Roman" w:hAnsi="Times New Roman"/>
          <w:sz w:val="20"/>
        </w:rPr>
      </w:pPr>
      <w:r>
        <w:rPr>
          <w:rFonts w:ascii="Times New Roman" w:hAnsi="Times New Roman"/>
          <w:sz w:val="20"/>
        </w:rPr>
        <w:t xml:space="preserve">(26) Liens in favor of customs and revenue authorities arising as a matter of law to secured payment of customs duties in connection with the importation of goods; </w:t>
      </w:r>
    </w:p>
    <w:p>
      <w:pPr>
        <w:pStyle w:val="TextBody"/>
        <w:bidi w:val="0"/>
        <w:spacing w:before="120" w:after="0"/>
        <w:jc w:val="left"/>
        <w:rPr>
          <w:rFonts w:ascii="Times New Roman" w:hAnsi="Times New Roman"/>
          <w:sz w:val="20"/>
        </w:rPr>
      </w:pPr>
      <w:r>
        <w:rPr>
          <w:rFonts w:ascii="Times New Roman" w:hAnsi="Times New Roman"/>
          <w:sz w:val="20"/>
        </w:rPr>
        <w:t xml:space="preserve">(27) licenses and sublicenses of intellectual property granted to third parties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(28) Liens in favor of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(29) normal and customary rights of setoff upon deposits of cash in favor of banks and other depositary institutions and Liens of a collecting bank arising under the UCC on checks and other items of payment in the course of collection; </w:t>
      </w:r>
    </w:p>
    <w:p>
      <w:pPr>
        <w:pStyle w:val="TextBody"/>
        <w:bidi w:val="0"/>
        <w:spacing w:before="120" w:after="0"/>
        <w:jc w:val="left"/>
        <w:rPr>
          <w:rFonts w:ascii="Times New Roman" w:hAnsi="Times New Roman"/>
          <w:sz w:val="20"/>
        </w:rPr>
      </w:pPr>
      <w:r>
        <w:rPr>
          <w:rFonts w:ascii="Times New Roman" w:hAnsi="Times New Roman"/>
          <w:sz w:val="20"/>
        </w:rPr>
        <w:t xml:space="preserve">(30) Liens arising out of conditional sale, title retention, consignment or similar arrangements for the sale of goods entered into by the Company or any of its Restricted Subsidiaries in the ordinary course of business in accordance with past practices of the Company and its Restricted Subsidiaries prior to the Issue Date; or </w:t>
      </w:r>
    </w:p>
    <w:p>
      <w:pPr>
        <w:pStyle w:val="TextBody"/>
        <w:bidi w:val="0"/>
        <w:spacing w:before="120" w:after="0"/>
        <w:jc w:val="left"/>
        <w:rPr>
          <w:rFonts w:ascii="Times New Roman" w:hAnsi="Times New Roman"/>
          <w:sz w:val="20"/>
        </w:rPr>
      </w:pPr>
      <w:r>
        <w:rPr>
          <w:rFonts w:ascii="Times New Roman" w:hAnsi="Times New Roman"/>
          <w:sz w:val="20"/>
        </w:rPr>
        <w:t xml:space="preserve">(31) any amounts held by a trustee in funds and accounts under an indenture securing revenue bonds issued for the benefit of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the foregoing, the Company and its Restricted Subsidiaries may, without securing the Notes, create, incur, issue, assume, guarantee or permit to exist any Indebtedness secured by a Lien, other than those permitted pursuant to clauses (1) through (31) of Section 4.05(b), if, immediately after giving pro forma effect to the incurrence of such Indebtedness (and the receipt and application of the proceeds thereof) or the securing of outstanding Indebtedness, the sum of (without duplication) (i) all Indebtedness of the Company and its Restricted Subsidiaries secured by Liens (other than those Liens permitted pursuant to clauses (1) through (31) above) and (ii) all Attributable Indebtedness in respect of Sale/Leaseback Transactions with respect to any Principal Property, at the time of determination, does not exceed 15% of Consolidated Net Tangible Assets. </w:t>
      </w:r>
    </w:p>
    <w:p>
      <w:pPr>
        <w:pStyle w:val="TextBody"/>
        <w:bidi w:val="0"/>
        <w:spacing w:before="240" w:after="0"/>
        <w:jc w:val="left"/>
        <w:rPr>
          <w:rFonts w:ascii="Times New Roman" w:hAnsi="Times New Roman"/>
          <w:sz w:val="20"/>
        </w:rPr>
      </w:pPr>
      <w:r>
        <w:rPr>
          <w:rFonts w:ascii="Times New Roman" w:hAnsi="Times New Roman"/>
          <w:sz w:val="20"/>
        </w:rPr>
        <w:t xml:space="preserve">Section 4.06 </w:t>
      </w:r>
      <w:r>
        <w:rPr>
          <w:rFonts w:ascii="Times New Roman" w:hAnsi="Times New Roman"/>
          <w:sz w:val="20"/>
          <w:u w:val="single"/>
        </w:rPr>
        <w:t>Compliance with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comply, and shall cause each of its Restricted Subsidiaries to comply, with all applicable statutes, rules, regulations, orders and restrictions of the United States, all states and municipalities thereof, and of any governmental department, commission, board, regulatory authority, bureau, agency and instrumentality of the foregoing, in respect of the conduct of their respective businesses and the ownership of their respective properties, except for such non-compliances as would not in the aggregate have a material adverse effect on the financial condition or results of operations of the Company and its Restricted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Section 4.07 </w:t>
      </w:r>
      <w:r>
        <w:rPr>
          <w:rFonts w:ascii="Times New Roman" w:hAnsi="Times New Roman"/>
          <w:sz w:val="20"/>
          <w:u w:val="single"/>
        </w:rPr>
        <w:t>Repurchase of Notes upon a Change of Control Triggering Event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Upon the occurrence of a Change of Control Triggering Event, each Holder of the Notes will have the right to require the Company to purchase all or a portion (equal to $2,000 or whole multiples of $1,000 in excess thereof) of such Holder’s Notes pursuant to Section 4.07(b) (the “</w:t>
      </w:r>
      <w:r>
        <w:rPr>
          <w:rFonts w:ascii="Times New Roman" w:hAnsi="Times New Roman"/>
          <w:sz w:val="20"/>
          <w:u w:val="single"/>
        </w:rPr>
        <w:t>Change of Control Offer</w:t>
      </w:r>
      <w:r>
        <w:rPr>
          <w:rFonts w:ascii="Times New Roman" w:hAnsi="Times New Roman"/>
          <w:sz w:val="20"/>
        </w:rPr>
        <w:t xml:space="preserve">”) at a purchase price equal to 101% of the principal amount thereof </w:t>
      </w:r>
      <w:r>
        <w:rPr>
          <w:rFonts w:ascii="Times New Roman" w:hAnsi="Times New Roman"/>
          <w:i/>
          <w:sz w:val="20"/>
        </w:rPr>
        <w:t xml:space="preserve">plus </w:t>
      </w:r>
      <w:r>
        <w:rPr>
          <w:rFonts w:ascii="Times New Roman" w:hAnsi="Times New Roman"/>
          <w:sz w:val="20"/>
        </w:rPr>
        <w:t>accrued and unpaid interest, if any, to (but excluding) the date of purchase (the “</w:t>
      </w:r>
      <w:r>
        <w:rPr>
          <w:rFonts w:ascii="Times New Roman" w:hAnsi="Times New Roman"/>
          <w:sz w:val="20"/>
          <w:u w:val="single"/>
        </w:rPr>
        <w:t>Change of Control Payment</w:t>
      </w:r>
      <w:r>
        <w:rPr>
          <w:rFonts w:ascii="Times New Roman" w:hAnsi="Times New Roman"/>
          <w:sz w:val="20"/>
        </w:rPr>
        <w:t xml:space="preserve">”), subject to the right of holders of Notes on the relevant Record Date to receive interest due on the relevant Interest Payment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Within 30 days following the date upon which the Change of Control Triggering Event occurred or, at the Company’s option, prior to any Change of Control but after the public announcement of the pending Change of Control, the Company will send, by first class mail (or with respect to Global Notes, to the extent permitted or required by the Applicable Procedures, send electronically) a notice to each Holder of Notes, with a copy to the Trustee, which notice will govern the terms of the Change of Control Offer. The notice to the Holders shall contain all instructions and materials necessary to enable such Holders to tender Notes pursuant to the Change of Control Offer. Such notice shall state: </w:t>
      </w:r>
    </w:p>
    <w:p>
      <w:pPr>
        <w:pStyle w:val="TextBody"/>
        <w:bidi w:val="0"/>
        <w:spacing w:before="120" w:after="0"/>
        <w:jc w:val="left"/>
        <w:rPr>
          <w:rFonts w:ascii="Times New Roman" w:hAnsi="Times New Roman"/>
          <w:sz w:val="20"/>
        </w:rPr>
      </w:pPr>
      <w:r>
        <w:rPr>
          <w:rFonts w:ascii="Times New Roman" w:hAnsi="Times New Roman"/>
          <w:sz w:val="20"/>
        </w:rPr>
        <w:t xml:space="preserve">(1) a description of the transaction or transactions that constitute the Change of Control and any other relevant facts regarding such Change Control; </w:t>
      </w:r>
    </w:p>
    <w:p>
      <w:pPr>
        <w:pStyle w:val="TextBody"/>
        <w:bidi w:val="0"/>
        <w:spacing w:before="120" w:after="0"/>
        <w:jc w:val="left"/>
        <w:rPr>
          <w:rFonts w:ascii="Times New Roman" w:hAnsi="Times New Roman"/>
          <w:sz w:val="20"/>
        </w:rPr>
      </w:pPr>
      <w:r>
        <w:rPr>
          <w:rFonts w:ascii="Times New Roman" w:hAnsi="Times New Roman"/>
          <w:sz w:val="20"/>
        </w:rPr>
        <w:t xml:space="preserve">(2) that the Change of Control Offer is being made pursuant to this Section 4.07 and that all Notes validly tendered and not validly withdrawn shall be accepted for payment; </w:t>
      </w:r>
    </w:p>
    <w:p>
      <w:pPr>
        <w:pStyle w:val="TextBody"/>
        <w:bidi w:val="0"/>
        <w:spacing w:before="120" w:after="0"/>
        <w:jc w:val="left"/>
        <w:rPr>
          <w:rFonts w:ascii="Times New Roman" w:hAnsi="Times New Roman"/>
          <w:sz w:val="20"/>
        </w:rPr>
      </w:pPr>
      <w:r>
        <w:rPr>
          <w:rFonts w:ascii="Times New Roman" w:hAnsi="Times New Roman"/>
          <w:sz w:val="20"/>
        </w:rPr>
        <w:t xml:space="preserve">(3) the Change of Control Payment (including the amount of accrued interest) and the purchase date, which shall be a Business Day, that is not earlier than 30 days or later than 60 days from the date such notice is mailed or sent (and, in the case of a notice mailed or sent prior to the date of consummation of a Change of Control, no earlier than the date of the occurrence of the Change of Control), other than as may be required by law (the “Change of Control Payment Date”); </w:t>
      </w:r>
    </w:p>
    <w:p>
      <w:pPr>
        <w:pStyle w:val="TextBody"/>
        <w:bidi w:val="0"/>
        <w:spacing w:before="120" w:after="0"/>
        <w:jc w:val="left"/>
        <w:rPr>
          <w:rFonts w:ascii="Times New Roman" w:hAnsi="Times New Roman"/>
          <w:sz w:val="20"/>
        </w:rPr>
      </w:pPr>
      <w:r>
        <w:rPr>
          <w:rFonts w:ascii="Times New Roman" w:hAnsi="Times New Roman"/>
          <w:sz w:val="20"/>
        </w:rPr>
        <w:t xml:space="preserve">(4) that any Note not tendered shall continue to accrue interest; </w:t>
      </w:r>
    </w:p>
    <w:p>
      <w:pPr>
        <w:pStyle w:val="TextBody"/>
        <w:bidi w:val="0"/>
        <w:spacing w:before="120" w:after="0"/>
        <w:jc w:val="left"/>
        <w:rPr>
          <w:rFonts w:ascii="Times New Roman" w:hAnsi="Times New Roman"/>
          <w:sz w:val="20"/>
        </w:rPr>
      </w:pPr>
      <w:r>
        <w:rPr>
          <w:rFonts w:ascii="Times New Roman" w:hAnsi="Times New Roman"/>
          <w:sz w:val="20"/>
        </w:rPr>
        <w:t xml:space="preserve">(5) that, unless the Company defaults in making payment therefor, any Note accepted for payment pursuant to the Change of Control Offer shall cease to accrue interest after the Change of Control Payment Date; </w:t>
      </w:r>
    </w:p>
    <w:p>
      <w:pPr>
        <w:pStyle w:val="TextBody"/>
        <w:bidi w:val="0"/>
        <w:spacing w:before="120" w:after="0"/>
        <w:jc w:val="left"/>
        <w:rPr>
          <w:rFonts w:ascii="Times New Roman" w:hAnsi="Times New Roman"/>
          <w:sz w:val="20"/>
        </w:rPr>
      </w:pPr>
      <w:r>
        <w:rPr>
          <w:rFonts w:ascii="Times New Roman" w:hAnsi="Times New Roman"/>
          <w:sz w:val="20"/>
        </w:rPr>
        <w:t xml:space="preserve">(6) that Holders electing to have a Note purchased pursuant to a Change of Control Offer shall be required to surrender the Note, with the form entitled “Option of Holder to Elect Purchase” on the reverse of the Note completed (or an electronic message delivered in accordance with the Applicable Procedures), to the Paying Agent at the address specified in the notice prior to the close of business on the second Business Day prior to the Change of Control Payment Date (or such other Business Day specified in the Change of Control Offer); </w:t>
      </w:r>
    </w:p>
    <w:p>
      <w:pPr>
        <w:pStyle w:val="TextBody"/>
        <w:bidi w:val="0"/>
        <w:spacing w:before="120" w:after="0"/>
        <w:jc w:val="left"/>
        <w:rPr>
          <w:rFonts w:ascii="Times New Roman" w:hAnsi="Times New Roman"/>
          <w:sz w:val="20"/>
        </w:rPr>
      </w:pPr>
      <w:r>
        <w:rPr>
          <w:rFonts w:ascii="Times New Roman" w:hAnsi="Times New Roman"/>
          <w:sz w:val="20"/>
        </w:rPr>
        <w:t xml:space="preserve">(7) that Holders shall be entitled to withdraw their election if the Paying Agent receives, not later than the second Business Day prior to the Change of Control Payment Date (or such other Business Day specified in the Change of Control Offer), a telegram, facsimile transmission or letter (or an electronic message delivered in accordance with the Applicable Procedures) setting forth the name of the Holder, the principal amount of the Notes the Holder delivered for purchase and a statement that such Holder is withdrawing his election to have such Note purchased; </w:t>
      </w:r>
    </w:p>
    <w:p>
      <w:pPr>
        <w:pStyle w:val="TextBody"/>
        <w:bidi w:val="0"/>
        <w:spacing w:before="120" w:after="0"/>
        <w:jc w:val="left"/>
        <w:rPr>
          <w:rFonts w:ascii="Times New Roman" w:hAnsi="Times New Roman"/>
          <w:sz w:val="20"/>
        </w:rPr>
      </w:pPr>
      <w:r>
        <w:rPr>
          <w:rFonts w:ascii="Times New Roman" w:hAnsi="Times New Roman"/>
          <w:sz w:val="20"/>
        </w:rPr>
        <w:t xml:space="preserve">(8) that Holders whose Notes are purchased only in part shall be issued new Notes in a principal amount equal to the unpurchased portion of the Notes surrendered; </w:t>
      </w:r>
      <w:r>
        <w:rPr>
          <w:rFonts w:ascii="Times New Roman" w:hAnsi="Times New Roman"/>
          <w:i/>
          <w:sz w:val="20"/>
        </w:rPr>
        <w:t>provided</w:t>
      </w:r>
      <w:r>
        <w:rPr>
          <w:rFonts w:ascii="Times New Roman" w:hAnsi="Times New Roman"/>
          <w:sz w:val="20"/>
        </w:rPr>
        <w:t xml:space="preserve"> that each Note purchased and each Notes issued shall be in a principal amount of $2,000 or integral multiples of $1,000 in excess thereof;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 that the Change of Control is subject to certain conditions, if applicable, that the Change of Control Offer is conditioned on the Change of Control being consummated on or prior to the Change of Control Payment Date and that the Change of Control Offer may be extended automatically until such Change of Control occurs and is revocable in the event such conditions are not met. </w:t>
      </w:r>
    </w:p>
    <w:p>
      <w:pPr>
        <w:pStyle w:val="TextBody"/>
        <w:bidi w:val="0"/>
        <w:spacing w:before="240" w:after="0"/>
        <w:jc w:val="left"/>
        <w:rPr>
          <w:rFonts w:ascii="Times New Roman" w:hAnsi="Times New Roman"/>
          <w:sz w:val="20"/>
        </w:rPr>
      </w:pPr>
      <w:r>
        <w:rPr>
          <w:rFonts w:ascii="Times New Roman" w:hAnsi="Times New Roman"/>
          <w:sz w:val="20"/>
        </w:rPr>
        <w:t xml:space="preserve">(c) The Company may make an Offer to Purchase in advance of a Change of Control, conditional upon such Change of Control, if a definitive agreement is in place for a Change of Control at the time of making the Offer to Purchase. </w:t>
      </w:r>
    </w:p>
    <w:p>
      <w:pPr>
        <w:pStyle w:val="TextBody"/>
        <w:bidi w:val="0"/>
        <w:spacing w:before="240" w:after="0"/>
        <w:jc w:val="left"/>
        <w:rPr>
          <w:rFonts w:ascii="Times New Roman" w:hAnsi="Times New Roman"/>
          <w:sz w:val="20"/>
        </w:rPr>
      </w:pPr>
      <w:r>
        <w:rPr>
          <w:rFonts w:ascii="Times New Roman" w:hAnsi="Times New Roman"/>
          <w:sz w:val="20"/>
        </w:rPr>
        <w:t>(d) The Company will not be required to make a Change of Control Offer with respect to the Notes if (i) a third party makes such an offer in the manner, at the times and otherwise in compliance with the requirements for such an offer made by the Company and such third party purchases all the Notes properly tendered and not withdrawn under such third party’s offer, (ii) a notice of redemption has been given to Holders with respect to the redemption of all outstanding Notes in accordance with the terms of this Indenture, unless and until there is a default in payment of the redemption price, or (iii) in connection with or in contemplation of any Change of Control, the Company has made an offer to purchase (an “</w:t>
      </w:r>
      <w:r>
        <w:rPr>
          <w:rFonts w:ascii="Times New Roman" w:hAnsi="Times New Roman"/>
          <w:sz w:val="20"/>
          <w:u w:val="single"/>
        </w:rPr>
        <w:t>Alternate Offer</w:t>
      </w:r>
      <w:r>
        <w:rPr>
          <w:rFonts w:ascii="Times New Roman" w:hAnsi="Times New Roman"/>
          <w:sz w:val="20"/>
        </w:rPr>
        <w:t xml:space="preserve">”) any and all Notes validly tendered at a cash price equal to or higher than the Change of Control Payment and has purchased all Notes properly tendered in accordance with the terms of such Alternate Offer. </w:t>
      </w:r>
    </w:p>
    <w:p>
      <w:pPr>
        <w:pStyle w:val="TextBody"/>
        <w:bidi w:val="0"/>
        <w:spacing w:before="240" w:after="0"/>
        <w:jc w:val="left"/>
        <w:rPr>
          <w:rFonts w:ascii="Times New Roman" w:hAnsi="Times New Roman"/>
          <w:sz w:val="20"/>
        </w:rPr>
      </w:pPr>
      <w:r>
        <w:rPr>
          <w:rFonts w:ascii="Times New Roman" w:hAnsi="Times New Roman"/>
          <w:sz w:val="20"/>
        </w:rPr>
        <w:t xml:space="preserve">(e) On or before the Change of Control Payment Date, the Company shall, to the extent lawful, (i) accept or cause a third party to accept for payment all Notes or portions of Notes properly tendered pursuant to the Change of Control Offer; (ii) deposit or cause a third party to deposit with the Paying Agent an amount equal to the Change of Control Payment in respect of all Notes or portions of Notes properly tendered; and (iii) deliver or cause to be delivered to the Trustee the Notes properly accepted together with an Officers’ Certificate or statement signed by an Officer of the Company, which need not constitute an Officers’ Certificate, stating the aggregate principal amount of Notes or portions of Notes being purchased. The Paying Agent shall promptly mail to the Holders of Notes so accepted payment in an amount equal to the Change of Control Payment and, upon written order of the Company accompanied by an Officers’ Certificate, the Trustee shall promptly authenticate and mail to such Holders new Notes equal in principal amount to any unpurchased portion of the Notes surrendered; </w:t>
      </w:r>
      <w:r>
        <w:rPr>
          <w:rFonts w:ascii="Times New Roman" w:hAnsi="Times New Roman"/>
          <w:i/>
          <w:sz w:val="20"/>
        </w:rPr>
        <w:t>provided</w:t>
      </w:r>
      <w:r>
        <w:rPr>
          <w:rFonts w:ascii="Times New Roman" w:hAnsi="Times New Roman"/>
          <w:sz w:val="20"/>
        </w:rPr>
        <w:t xml:space="preserve"> that each Note purchased and each Notes issued shall be in a principal amount of $2,000 or integral multiples of $1,000 in excess thereof. Any Notes not so accepted shall be promptly delivered by the Company to the Holder thereof. The Company shall publicly announce the results of the Change of Control Offer as soon as practicable after the Change of Control Payment Date. For purposes of this Section 4.07, the Trustee shall act as the Paying Agent. </w:t>
      </w:r>
    </w:p>
    <w:p>
      <w:pPr>
        <w:pStyle w:val="TextBody"/>
        <w:bidi w:val="0"/>
        <w:spacing w:before="240" w:after="0"/>
        <w:jc w:val="left"/>
        <w:rPr>
          <w:rFonts w:ascii="Times New Roman" w:hAnsi="Times New Roman"/>
          <w:sz w:val="20"/>
        </w:rPr>
      </w:pPr>
      <w:r>
        <w:rPr>
          <w:rFonts w:ascii="Times New Roman" w:hAnsi="Times New Roman"/>
          <w:sz w:val="20"/>
        </w:rPr>
        <w:t xml:space="preserve">(f) Any amounts remaining with the Paying Agent after the purchase of Notes pursuant to a Change of Control Offer shall be returned by the Trustee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The Company shall comply in all material respects with the requirements of Rule 14e-1 under the Exchange Act, and any other securities laws and regulations thereunder to the extent those laws and regulations are applicable in connection with the purchase of the Notes as a result of a Change of Control Triggering Event. To the extent that the provisions of any such securities laws or regulations conflict with the Change of Control Offer provisions of the Notes, the Company will comply with those securities laws and regulations and will not be deemed to have breached its obligations under the Change of Control Offer provisions of the Notes or this Indenture by virtue of any such conflict. </w:t>
      </w:r>
    </w:p>
    <w:p>
      <w:pPr>
        <w:pStyle w:val="TextBody"/>
        <w:bidi w:val="0"/>
        <w:spacing w:before="240" w:after="0"/>
        <w:jc w:val="left"/>
        <w:rPr>
          <w:rFonts w:ascii="Times New Roman" w:hAnsi="Times New Roman"/>
          <w:sz w:val="20"/>
        </w:rPr>
      </w:pPr>
      <w:r>
        <w:rPr>
          <w:rFonts w:ascii="Times New Roman" w:hAnsi="Times New Roman"/>
          <w:sz w:val="20"/>
        </w:rPr>
        <w:t xml:space="preserve">Section 4.08 </w:t>
      </w:r>
      <w:r>
        <w:rPr>
          <w:rFonts w:ascii="Times New Roman" w:hAnsi="Times New Roman"/>
          <w:sz w:val="20"/>
          <w:u w:val="single"/>
        </w:rPr>
        <w:t>Limitation on Sale and Leasebacks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not, and shall not permit any of its Restricted Subsidiaries to, enter into any Sale/Leaseback Transaction with respect to any Principal Property, unless (i) the Company or such Restricted Subsidiary would be entitled to create a Lien on such Principal Property securing Indebtedness in an amount equal to the Attributable Indebtedness with respect to such Sale/Leaseback Transaction without securing the Notes pursuant to Section 4.05 or (ii) the Company, within twelve months from the effective date of such Sale/Leaseback Transaction, applies to (x) the voluntary defeasance or retirement (excluding retirements of Notes and other Indebtedness ranking pari passu with the Notes as a result of conversions, pursuant to mandatory sinking funds or mandatory prepayment provisions or by payment at maturity) of Notes or other Indebtedness ranking pari passu with the Notes, (y) the acquisition, construction, development or improvement of any Principal Property used or useful in the businesses of the Company or its Subsidiaries or (z) any combination of the foregoing, an amount equal to the Attributable Indebtedness with respect to such Sale/Leaseback Transaction. </w:t>
      </w:r>
    </w:p>
    <w:p>
      <w:pPr>
        <w:pStyle w:val="TextBody"/>
        <w:bidi w:val="0"/>
        <w:spacing w:before="480" w:after="0"/>
        <w:jc w:val="center"/>
        <w:rPr>
          <w:rFonts w:ascii="Times New Roman" w:hAnsi="Times New Roman"/>
          <w:sz w:val="20"/>
        </w:rPr>
      </w:pPr>
      <w:r>
        <w:rPr>
          <w:rFonts w:ascii="Times New Roman" w:hAnsi="Times New Roman"/>
          <w:sz w:val="20"/>
        </w:rPr>
        <w:t xml:space="preserve">ARTICLE 5 </w:t>
      </w:r>
    </w:p>
    <w:p>
      <w:pPr>
        <w:pStyle w:val="TextBody"/>
        <w:bidi w:val="0"/>
        <w:spacing w:before="120" w:after="0"/>
        <w:jc w:val="center"/>
        <w:rPr>
          <w:rFonts w:ascii="Times New Roman" w:hAnsi="Times New Roman"/>
          <w:sz w:val="20"/>
        </w:rPr>
      </w:pPr>
      <w:r>
        <w:rPr>
          <w:rFonts w:ascii="Times New Roman" w:hAnsi="Times New Roman"/>
          <w:sz w:val="20"/>
        </w:rPr>
        <w:t xml:space="preserve">SUCCESSORS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Consolidation, Merger and Sale of Assets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shall not consolidate with or merge with or into any person, or convey, transfer or lease all or substantially all of its assets, unless the following conditions have been satisfied: </w:t>
      </w:r>
    </w:p>
    <w:p>
      <w:pPr>
        <w:pStyle w:val="TextBody"/>
        <w:bidi w:val="0"/>
        <w:spacing w:before="120" w:after="0"/>
        <w:jc w:val="left"/>
        <w:rPr>
          <w:rFonts w:ascii="Times New Roman" w:hAnsi="Times New Roman"/>
          <w:sz w:val="20"/>
        </w:rPr>
      </w:pPr>
      <w:r>
        <w:rPr>
          <w:rFonts w:ascii="Times New Roman" w:hAnsi="Times New Roman"/>
          <w:sz w:val="20"/>
        </w:rPr>
        <w:t>(1) either (A) the Company is the continuing Person in the case of a merger or (B) the resulting, surviving or transferee Person, if other than the Company (the “</w:t>
      </w:r>
      <w:r>
        <w:rPr>
          <w:rFonts w:ascii="Times New Roman" w:hAnsi="Times New Roman"/>
          <w:sz w:val="20"/>
          <w:u w:val="single"/>
        </w:rPr>
        <w:t>Successor Company</w:t>
      </w:r>
      <w:r>
        <w:rPr>
          <w:rFonts w:ascii="Times New Roman" w:hAnsi="Times New Roman"/>
          <w:sz w:val="20"/>
        </w:rPr>
        <w:t xml:space="preserve">”), is a corporation organized and existing under the laws of the United States, any State thereof or the District of Columbia and expressly assumes pursuant to a supplemental indenture all of the obligations of the Company under the Notes and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(2) immediately after giving effect to such transaction (and treating any Indebtedness that becomes an obligation of the Successor Company or any Subsidiary of the Company as a result of such transaction as having been incurred by the Successor Company or such Subsidiary at the time of such transaction), no Default or Event of Default would occur or be continuing; and </w:t>
      </w:r>
    </w:p>
    <w:p>
      <w:pPr>
        <w:pStyle w:val="TextBody"/>
        <w:bidi w:val="0"/>
        <w:spacing w:before="120" w:after="0"/>
        <w:jc w:val="left"/>
        <w:rPr>
          <w:rFonts w:ascii="Times New Roman" w:hAnsi="Times New Roman"/>
          <w:sz w:val="20"/>
        </w:rPr>
      </w:pPr>
      <w:r>
        <w:rPr>
          <w:rFonts w:ascii="Times New Roman" w:hAnsi="Times New Roman"/>
          <w:sz w:val="20"/>
        </w:rPr>
        <w:t xml:space="preserve">(3) the Company has delivered to the Trustee an Officers’ Certificate and an Opinion of Counsel (which Opinion of Counsel may be subject to customary assumptions, qualifications and exclusions), each stating that such consolidation, merger, or transfer and such supplemental indenture (if any) comply with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the Successor Company expressly assumes all of the obligations of the Company under the Notes and this Indenture, the Company will promptly thereafter be released from such obligations. For the avoidance of doubt, Section 802 of the Base Indenture shall apply to the Successor Company. </w:t>
      </w:r>
    </w:p>
    <w:p>
      <w:pPr>
        <w:pStyle w:val="TextBody"/>
        <w:bidi w:val="0"/>
        <w:spacing w:before="480" w:after="0"/>
        <w:jc w:val="center"/>
        <w:rPr>
          <w:rFonts w:ascii="Times New Roman" w:hAnsi="Times New Roman"/>
          <w:sz w:val="20"/>
        </w:rPr>
      </w:pPr>
      <w:r>
        <w:rPr>
          <w:rFonts w:ascii="Times New Roman" w:hAnsi="Times New Roman"/>
          <w:sz w:val="20"/>
        </w:rPr>
        <w:t xml:space="preserve">ARTICLE 6 </w:t>
      </w:r>
    </w:p>
    <w:p>
      <w:pPr>
        <w:pStyle w:val="TextBody"/>
        <w:bidi w:val="0"/>
        <w:spacing w:before="120" w:after="0"/>
        <w:jc w:val="center"/>
        <w:rPr>
          <w:rFonts w:ascii="Times New Roman" w:hAnsi="Times New Roman"/>
          <w:sz w:val="20"/>
        </w:rPr>
      </w:pPr>
      <w:r>
        <w:rPr>
          <w:rFonts w:ascii="Times New Roman" w:hAnsi="Times New Roman"/>
          <w:sz w:val="20"/>
        </w:rPr>
        <w:t xml:space="preserve">DEFAULTS AND REMEDIES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Events of Default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Each of the following shall be an “</w:t>
      </w:r>
      <w:r>
        <w:rPr>
          <w:rFonts w:ascii="Times New Roman" w:hAnsi="Times New Roman"/>
          <w:sz w:val="20"/>
          <w:u w:val="single"/>
        </w:rPr>
        <w:t>Event of Default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default in the payment of principal of (or premium, if any, on) any Note when the same becomes due and payable at maturity, upon acceleration, redemption or otherwise; </w:t>
      </w:r>
    </w:p>
    <w:p>
      <w:pPr>
        <w:pStyle w:val="TextBody"/>
        <w:bidi w:val="0"/>
        <w:spacing w:before="240" w:after="0"/>
        <w:jc w:val="left"/>
        <w:rPr>
          <w:rFonts w:ascii="Times New Roman" w:hAnsi="Times New Roman"/>
          <w:sz w:val="20"/>
        </w:rPr>
      </w:pPr>
      <w:r>
        <w:rPr>
          <w:rFonts w:ascii="Times New Roman" w:hAnsi="Times New Roman"/>
          <w:sz w:val="20"/>
        </w:rPr>
        <w:t xml:space="preserve">(b) default in the payment of interest on any Note when the same becomes due and payable, and such default continues for a period of 30 days; </w:t>
      </w:r>
    </w:p>
    <w:p>
      <w:pPr>
        <w:pStyle w:val="TextBody"/>
        <w:bidi w:val="0"/>
        <w:spacing w:before="240" w:after="0"/>
        <w:jc w:val="left"/>
        <w:rPr>
          <w:rFonts w:ascii="Times New Roman" w:hAnsi="Times New Roman"/>
          <w:sz w:val="20"/>
        </w:rPr>
      </w:pPr>
      <w:r>
        <w:rPr>
          <w:rFonts w:ascii="Times New Roman" w:hAnsi="Times New Roman"/>
          <w:sz w:val="20"/>
        </w:rPr>
        <w:t xml:space="preserve">(c) the Company defaults in the performance of or breaches any other covenant or agreement in this Indenture or under the Notes (other than a default specified in clause (a) or (b) above) and such default or breach continues for a period of 90 consecutive days after written notice by the Trustee or the Holders of 25% or more in aggregate principal amount of the Notes; </w:t>
      </w:r>
    </w:p>
    <w:p>
      <w:pPr>
        <w:pStyle w:val="TextBody"/>
        <w:bidi w:val="0"/>
        <w:spacing w:before="240" w:after="0"/>
        <w:jc w:val="left"/>
        <w:rPr>
          <w:rFonts w:ascii="Times New Roman" w:hAnsi="Times New Roman"/>
          <w:sz w:val="20"/>
        </w:rPr>
      </w:pPr>
      <w:r>
        <w:rPr>
          <w:rFonts w:ascii="Times New Roman" w:hAnsi="Times New Roman"/>
          <w:sz w:val="20"/>
        </w:rPr>
        <w:t xml:space="preserve">(d) there occurs with respect to any Indebtedness of the Company or any Significant Subsidiary having an outstanding principal amount of $225.0 million or more in the aggregate, (i) an event of default that has caused the holder thereof to declare such Indebtedness to be due and payable prior to its stated maturity and such Indebtedness has not been discharged in full or such acceleration has not been rescinded or annulled within 30 days of such acceleration or (ii) the failure to make a principal payment at the final (but not any interim) fixed maturity and such defaulted payment shall not have been made, waived or extended within 30 days of such payment default; </w:t>
      </w:r>
    </w:p>
    <w:p>
      <w:pPr>
        <w:pStyle w:val="TextBody"/>
        <w:bidi w:val="0"/>
        <w:spacing w:before="240" w:after="0"/>
        <w:jc w:val="left"/>
        <w:rPr>
          <w:rFonts w:ascii="Times New Roman" w:hAnsi="Times New Roman"/>
          <w:sz w:val="20"/>
        </w:rPr>
      </w:pPr>
      <w:r>
        <w:rPr>
          <w:rFonts w:ascii="Times New Roman" w:hAnsi="Times New Roman"/>
          <w:sz w:val="20"/>
        </w:rPr>
        <w:t xml:space="preserve">(e) a court having competent jurisdiction in the premises enters a final, non-appealable decree or order for (A) relief in respect of the Company or any Significant Subsidiary (or a group of Restricted Subsidiaries that, taken together, would constitute a Significant Subsidiary) in an involuntary case under any applicable bankruptcy, insolvency or other similar law now or hereafter in effect, (B) appointment of a receiver, liquidator, assignee, custodian, trustee, sequestrator or similar official of the Company or any Significant Subsidiary (or a group of Restricted Subsidiaries that, taken together, would constitute a Significant Subsidiary) or for all or substantially all of the property and assets of the Company or any Significant Subsidiary (or such group of Restricted Subsidiaries) or (C) the winding up or liquidation of the affairs of the Company or any Significant Subsidiary (or a group of Restricted Subsidiaries that, taken together, would constitute a Significant Subsidiary) and, in each case, such decree or order shall remain unstayed and in effect for a period of 90 consecutive days;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the Company or any Significant Subsidiary (or a group of Restricted Subsidiaries that, taken together, would constitute a Significant Subsidiary) (A) commences a voluntary case under any applicable bankruptcy, insolvency or other similar law now or hereafter in effect, or consents to the entry of an order for relief in an involuntary case under any such law, (B) consents to the appointment of or taking possession by a receiver, liquidator, assignee, custodian, trustee, sequestrator or similar official of the Company or any Significant Subsidiary (or a group of Restricted Subsidiaries that, taken together, would constitute a Significant Subsidiary) or for all or substantially all of the property and assets of the Company or any Significant Subsidiary (or such group of Restricted Subsidiaries) or (C) effects any general assignment for the benefit of creditors.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Acceleration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an Event of Default (other than an Event of Default specified in clause (e) or (f) of Section 6.01 above that occurs with respect to the Company) occurs and is continuing under this Indenture, the Trustee or the Holders of at least 25% in aggregate principal amount of the Notes, then outstanding, by written notice to the Company (and to the Trustee if such notice is given by the Holders), may, and the Trustee at the request of such Holders shall, declare the principal of, premium, if any, and accrued interest on the Notes to be immediately due and payable. Upon a declaration of acceleration, such principal of, premium, if any, and accrued interest shall be immediately due and payable. In the event of a declaration of acceleration because an Event of Default set forth in Section 6.01(d) above has occurred and is continuing, such declaration of acceleration shall be automatically rescinded and annulled if the event of default triggering such Event of Default pursuant to Section 6.01(d) shall be remedied or cured by the Company or the relevant Significant Subsidiary or waived by the holders of the relevant Indebtedness within 60 days after the declaration of acceleration with respect thereto. If an Event of Default specified in Section 6.01(e) or (f) above occurs with respect to the Company, the principal of, premium, if any, and accrued interest on the Notes then outstanding shall automatically become and be immediately due and payable without any declaration or other act on the part of the Trustee or any Holder. </w:t>
      </w:r>
    </w:p>
    <w:p>
      <w:pPr>
        <w:pStyle w:val="TextBody"/>
        <w:bidi w:val="0"/>
        <w:spacing w:before="240" w:after="0"/>
        <w:jc w:val="left"/>
        <w:rPr>
          <w:rFonts w:ascii="Times New Roman" w:hAnsi="Times New Roman"/>
          <w:sz w:val="20"/>
        </w:rPr>
      </w:pPr>
      <w:r>
        <w:rPr>
          <w:rFonts w:ascii="Times New Roman" w:hAnsi="Times New Roman"/>
          <w:sz w:val="20"/>
        </w:rPr>
        <w:t xml:space="preserve">(b) At any time after a declaration of acceleration with respect to the Notes as described in the preceding paragraph, the Holders of a majority in principal amount of the Notes may rescind and cancel such declaration and its consequences (i) if the rescission would not conflict with any judgment or decree of a court of competent jurisdiction, (ii) if all existing Events of Default have been cured or waived as provided in Section 6.04, except nonpayment of principal of, premium, if any, or interest that has become due solely because of the acceleration, (iii) to the extent the payment of such interest is lawful, interest on overdue installments of interest and overdue principal and premium, if any, which has become due otherwise than by such declaration of acceleration, has been paid, (iv) if the Company has paid the Trustee its reasonable compensation and reimbursed the Trustee for its expenses, disbursements and advances, and any other amounts due to the Trustee under Section 606 of the Base Indenture and (v) in the event of the cure or waiver of an Event of Default of the type described in clause (e) or (f) of Section 6.01, the Trustee shall have received an Officers’ Certificate and an Opinion of Counsel that such Event of Default has been cured or waived. No such rescission shall affect any subsequent Default or Event of Default or impair any right consequent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Other Remedies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occurs and is continuing, the Trustee may pursue any available remedy by proceeding at law or in equity to collect the payment of principal of, premium, if any, or interest on the Notes or to enforce the performance of any provision of the Notes or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No remedy is exclusive of any other remedy. All remedies are cumulative to the extent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6.04 </w:t>
      </w:r>
      <w:r>
        <w:rPr>
          <w:rFonts w:ascii="Times New Roman" w:hAnsi="Times New Roman"/>
          <w:sz w:val="20"/>
          <w:u w:val="single"/>
        </w:rPr>
        <w:t>Waiver of Past Defaults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not less than a majority in principal amount of the outstanding Notes by written notice to the Company and to the Trustee may waive all past Defaults and their consequences, except: </w:t>
      </w:r>
    </w:p>
    <w:p>
      <w:pPr>
        <w:pStyle w:val="TextBody"/>
        <w:bidi w:val="0"/>
        <w:spacing w:before="120" w:after="0"/>
        <w:jc w:val="left"/>
        <w:rPr>
          <w:rFonts w:ascii="Times New Roman" w:hAnsi="Times New Roman"/>
          <w:sz w:val="20"/>
        </w:rPr>
      </w:pPr>
      <w:r>
        <w:rPr>
          <w:rFonts w:ascii="Times New Roman" w:hAnsi="Times New Roman"/>
          <w:sz w:val="20"/>
        </w:rPr>
        <w:t xml:space="preserve">(a) a continuing Default in the payment of the principal of (or premium, if any) or interest on any Note held by a non-consenting Holder (including in connection with a Change of Control Offer); or </w:t>
      </w:r>
    </w:p>
    <w:p>
      <w:pPr>
        <w:pStyle w:val="TextBody"/>
        <w:bidi w:val="0"/>
        <w:spacing w:before="240" w:after="0"/>
        <w:jc w:val="left"/>
        <w:rPr>
          <w:rFonts w:ascii="Times New Roman" w:hAnsi="Times New Roman"/>
          <w:sz w:val="20"/>
        </w:rPr>
      </w:pPr>
      <w:r>
        <w:rPr>
          <w:rFonts w:ascii="Times New Roman" w:hAnsi="Times New Roman"/>
          <w:sz w:val="20"/>
        </w:rPr>
        <w:t xml:space="preserve">(b) in respect of a covenant or provision hereof which under Article 9 of this Supplemental Indenture cannot be modified or amended without the consent of the Holder of each outstanding Note affected.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subject to Section 6.02, the Holders of a majority in principal amount of the then outstanding Notes may rescind an acceleration and its consequences, including any related payment default that resulted from such acceleration.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deliver to the Trustee an Officers’ Certificate stating that the requisite percentage of Holders have consented to such waiver and attaching copies of such consents. When a Default or Event of Default is waived, it is cured and ceases. </w:t>
      </w:r>
    </w:p>
    <w:p>
      <w:pPr>
        <w:pStyle w:val="TextBody"/>
        <w:bidi w:val="0"/>
        <w:spacing w:before="240" w:after="0"/>
        <w:jc w:val="left"/>
        <w:rPr>
          <w:rFonts w:ascii="Times New Roman" w:hAnsi="Times New Roman"/>
          <w:sz w:val="20"/>
        </w:rPr>
      </w:pPr>
      <w:r>
        <w:rPr>
          <w:rFonts w:ascii="Times New Roman" w:hAnsi="Times New Roman"/>
          <w:sz w:val="20"/>
        </w:rPr>
        <w:t xml:space="preserve">Section 6.05 </w:t>
      </w:r>
      <w:r>
        <w:rPr>
          <w:rFonts w:ascii="Times New Roman" w:hAnsi="Times New Roman"/>
          <w:sz w:val="20"/>
          <w:u w:val="single"/>
        </w:rPr>
        <w:t>Control by Majority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at least a majority in aggregate principal amount of the outstanding Notes may direct the time, method and place of conducting any proceeding for any remedy available to the Trustee or exercising any trust or power conferred on the Trustee. However, the Trustee may refuse to follow any direction that conflicts with law or this Indenture, that may involve the Trustee in personal expense or liability for which (as determined in good faith by it) the Trustee has not received adequate indemnity, or that the Trustee determines in good faith may be unduly prejudicial to the rights of Holders of Notes not joining in the giving of such direction and may take any other action it deems proper that is not inconsistent with any such direction received from Holders of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6.06 </w:t>
      </w:r>
      <w:r>
        <w:rPr>
          <w:rFonts w:ascii="Times New Roman" w:hAnsi="Times New Roman"/>
          <w:sz w:val="20"/>
          <w:u w:val="single"/>
        </w:rPr>
        <w:t>Limitation on Suits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 Holder may not pursue any remedy with respect to this Indenture or the Notes unless: </w:t>
      </w:r>
    </w:p>
    <w:p>
      <w:pPr>
        <w:pStyle w:val="TextBody"/>
        <w:bidi w:val="0"/>
        <w:spacing w:before="120" w:after="0"/>
        <w:jc w:val="left"/>
        <w:rPr>
          <w:rFonts w:ascii="Times New Roman" w:hAnsi="Times New Roman"/>
          <w:sz w:val="20"/>
        </w:rPr>
      </w:pPr>
      <w:r>
        <w:rPr>
          <w:rFonts w:ascii="Times New Roman" w:hAnsi="Times New Roman"/>
          <w:sz w:val="20"/>
        </w:rPr>
        <w:t xml:space="preserve">(1) the Holder gives the Trustee written notice of a continuing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(2) the Holders of at least 25% in aggregate principal amount of outstanding Notes make a written request to the Trustee to pursue the remedy; </w:t>
      </w:r>
    </w:p>
    <w:p>
      <w:pPr>
        <w:pStyle w:val="TextBody"/>
        <w:bidi w:val="0"/>
        <w:spacing w:before="120" w:after="0"/>
        <w:jc w:val="left"/>
        <w:rPr>
          <w:rFonts w:ascii="Times New Roman" w:hAnsi="Times New Roman"/>
          <w:sz w:val="20"/>
        </w:rPr>
      </w:pPr>
      <w:r>
        <w:rPr>
          <w:rFonts w:ascii="Times New Roman" w:hAnsi="Times New Roman"/>
          <w:sz w:val="20"/>
        </w:rPr>
        <w:t xml:space="preserve">(3) such Holder or Holders offer the Trustee indemnity satisfactory to the Trustee against any costs, liability or expense; </w:t>
      </w:r>
    </w:p>
    <w:p>
      <w:pPr>
        <w:pStyle w:val="TextBody"/>
        <w:bidi w:val="0"/>
        <w:spacing w:before="120" w:after="0"/>
        <w:jc w:val="left"/>
        <w:rPr>
          <w:rFonts w:ascii="Times New Roman" w:hAnsi="Times New Roman"/>
          <w:sz w:val="20"/>
        </w:rPr>
      </w:pPr>
      <w:r>
        <w:rPr>
          <w:rFonts w:ascii="Times New Roman" w:hAnsi="Times New Roman"/>
          <w:sz w:val="20"/>
        </w:rPr>
        <w:t xml:space="preserve">(4) the Trustee does not comply with the request within 60 days after receipt of the request and the offer of indemnity; and </w:t>
      </w:r>
    </w:p>
    <w:p>
      <w:pPr>
        <w:pStyle w:val="TextBody"/>
        <w:bidi w:val="0"/>
        <w:spacing w:before="120" w:after="0"/>
        <w:jc w:val="left"/>
        <w:rPr>
          <w:rFonts w:ascii="Times New Roman" w:hAnsi="Times New Roman"/>
          <w:sz w:val="20"/>
        </w:rPr>
      </w:pPr>
      <w:r>
        <w:rPr>
          <w:rFonts w:ascii="Times New Roman" w:hAnsi="Times New Roman"/>
          <w:sz w:val="20"/>
        </w:rPr>
        <w:t xml:space="preserve">(5) during such 60-day period, the Holders of a majority in aggregate principal amount of the outstanding Notes do not give the Trustee a direction that is inconsistent with the request. </w:t>
      </w:r>
    </w:p>
    <w:p>
      <w:pPr>
        <w:pStyle w:val="TextBody"/>
        <w:bidi w:val="0"/>
        <w:spacing w:before="240" w:after="0"/>
        <w:jc w:val="left"/>
        <w:rPr>
          <w:rFonts w:ascii="Times New Roman" w:hAnsi="Times New Roman"/>
          <w:sz w:val="20"/>
        </w:rPr>
      </w:pPr>
      <w:r>
        <w:rPr>
          <w:rFonts w:ascii="Times New Roman" w:hAnsi="Times New Roman"/>
          <w:sz w:val="20"/>
        </w:rPr>
        <w:t xml:space="preserve">(b) The limitations under Section 6.06(a) shall not apply to the right of any Holder of a Note to receive payment of the principal of or premium, if any, or interest on, such Note, or to bring suit for the enforcement of any such payment, on or after the due date expressed in the Notes, which right shall not be impaired or affected without the consent of the Holder. </w:t>
      </w:r>
    </w:p>
    <w:p>
      <w:pPr>
        <w:pStyle w:val="TextBody"/>
        <w:bidi w:val="0"/>
        <w:spacing w:before="240" w:after="0"/>
        <w:jc w:val="left"/>
        <w:rPr>
          <w:rFonts w:ascii="Times New Roman" w:hAnsi="Times New Roman"/>
          <w:sz w:val="20"/>
        </w:rPr>
      </w:pPr>
      <w:r>
        <w:rPr>
          <w:rFonts w:ascii="Times New Roman" w:hAnsi="Times New Roman"/>
          <w:sz w:val="20"/>
        </w:rPr>
        <w:t xml:space="preserve">Section 6.07 </w:t>
      </w:r>
      <w:r>
        <w:rPr>
          <w:rFonts w:ascii="Times New Roman" w:hAnsi="Times New Roman"/>
          <w:sz w:val="20"/>
          <w:u w:val="single"/>
        </w:rPr>
        <w:t>Priorities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collects any money or property pursuant to this Article 6 or Article Five of the Base Indenture, it shall pay out the money or property in the following order: </w:t>
      </w:r>
    </w:p>
    <w:p>
      <w:pPr>
        <w:pStyle w:val="TextBody"/>
        <w:bidi w:val="0"/>
        <w:spacing w:before="120" w:after="0"/>
        <w:jc w:val="left"/>
        <w:rPr>
          <w:rFonts w:ascii="Times New Roman" w:hAnsi="Times New Roman"/>
          <w:sz w:val="20"/>
        </w:rPr>
      </w:pPr>
      <w:r>
        <w:rPr>
          <w:rFonts w:ascii="Times New Roman" w:hAnsi="Times New Roman"/>
          <w:i/>
          <w:sz w:val="20"/>
        </w:rPr>
        <w:t>First</w:t>
      </w:r>
      <w:r>
        <w:rPr>
          <w:rFonts w:ascii="Times New Roman" w:hAnsi="Times New Roman"/>
          <w:sz w:val="20"/>
        </w:rPr>
        <w:t xml:space="preserve">: to the Trustee for amounts due under Section 606 of the Base Indenture; </w:t>
      </w:r>
    </w:p>
    <w:p>
      <w:pPr>
        <w:pStyle w:val="TextBody"/>
        <w:bidi w:val="0"/>
        <w:spacing w:before="240" w:after="0"/>
        <w:jc w:val="left"/>
        <w:rPr>
          <w:rFonts w:ascii="Times New Roman" w:hAnsi="Times New Roman"/>
          <w:sz w:val="20"/>
        </w:rPr>
      </w:pPr>
      <w:r>
        <w:rPr>
          <w:rFonts w:ascii="Times New Roman" w:hAnsi="Times New Roman"/>
          <w:i/>
          <w:sz w:val="20"/>
        </w:rPr>
        <w:t>Second</w:t>
      </w:r>
      <w:r>
        <w:rPr>
          <w:rFonts w:ascii="Times New Roman" w:hAnsi="Times New Roman"/>
          <w:sz w:val="20"/>
        </w:rPr>
        <w:t xml:space="preserve">: to Holders for interest accrued on the Notes, ratably, without preference or priority of any kind, according to the amounts due and payable on the Notes for interest; </w:t>
      </w:r>
    </w:p>
    <w:p>
      <w:pPr>
        <w:pStyle w:val="TextBody"/>
        <w:bidi w:val="0"/>
        <w:spacing w:before="240" w:after="0"/>
        <w:jc w:val="left"/>
        <w:rPr>
          <w:rFonts w:ascii="Times New Roman" w:hAnsi="Times New Roman"/>
          <w:sz w:val="20"/>
        </w:rPr>
      </w:pPr>
      <w:r>
        <w:rPr>
          <w:rFonts w:ascii="Times New Roman" w:hAnsi="Times New Roman"/>
          <w:i/>
          <w:sz w:val="20"/>
        </w:rPr>
        <w:t>Third</w:t>
      </w:r>
      <w:r>
        <w:rPr>
          <w:rFonts w:ascii="Times New Roman" w:hAnsi="Times New Roman"/>
          <w:sz w:val="20"/>
        </w:rPr>
        <w:t xml:space="preserve">: to Holders for principal amounts and premium, if any, due and unpaid on the Notes, ratably, without preference or priority of any kind, according to the amounts due and payable on the Notes for principal; and </w:t>
      </w:r>
    </w:p>
    <w:p>
      <w:pPr>
        <w:pStyle w:val="TextBody"/>
        <w:bidi w:val="0"/>
        <w:spacing w:before="240" w:after="0"/>
        <w:jc w:val="left"/>
        <w:rPr>
          <w:rFonts w:ascii="Times New Roman" w:hAnsi="Times New Roman"/>
          <w:sz w:val="20"/>
        </w:rPr>
      </w:pPr>
      <w:r>
        <w:rPr>
          <w:rFonts w:ascii="Times New Roman" w:hAnsi="Times New Roman"/>
          <w:i/>
          <w:sz w:val="20"/>
        </w:rPr>
        <w:t>Fourth</w:t>
      </w:r>
      <w:r>
        <w:rPr>
          <w:rFonts w:ascii="Times New Roman" w:hAnsi="Times New Roman"/>
          <w:sz w:val="20"/>
        </w:rPr>
        <w:t xml:space="preserve">: to the Company as its interests may appear.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fix a record date and payment date for any payment to Holders of Notes pursuant to this Section 6.07. At least 15 days before such record date, the Trustee shall mail to each Holder and the Company a notice that states the record date, the payment date and amount to be paid.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6.08 </w:t>
      </w:r>
      <w:r>
        <w:rPr>
          <w:rFonts w:ascii="Times New Roman" w:hAnsi="Times New Roman"/>
          <w:sz w:val="20"/>
          <w:u w:val="single"/>
        </w:rPr>
        <w:t>Unconditional Right of Holders to Receive Principal of or Premium, if any, or Interest on the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in this Indenture, the Holder of any Note shall have the right which is absolute and unconditional to receive payment of the principal of or premium, if any, or interest on such Note on the respective due dates (or, in the case of any redemption or any repurchase pursuant to Section 4.07 hereof, on the redemption or purchase date) and to institute suit for the enforcement of any such payment and such right shall not be impaired or affected without the consent of such Holder. </w:t>
      </w:r>
    </w:p>
    <w:p>
      <w:pPr>
        <w:pStyle w:val="TextBody"/>
        <w:bidi w:val="0"/>
        <w:spacing w:before="240" w:after="0"/>
        <w:jc w:val="left"/>
        <w:rPr>
          <w:rFonts w:ascii="Times New Roman" w:hAnsi="Times New Roman"/>
          <w:sz w:val="20"/>
        </w:rPr>
      </w:pPr>
      <w:r>
        <w:rPr>
          <w:rFonts w:ascii="Times New Roman" w:hAnsi="Times New Roman"/>
          <w:sz w:val="20"/>
        </w:rPr>
        <w:t xml:space="preserve">Section 6.09 </w:t>
      </w:r>
      <w:r>
        <w:rPr>
          <w:rFonts w:ascii="Times New Roman" w:hAnsi="Times New Roman"/>
          <w:sz w:val="20"/>
          <w:u w:val="single"/>
        </w:rPr>
        <w:t>Additional Provisions Applicable to Events of Default</w:t>
      </w:r>
      <w:r>
        <w:rPr>
          <w:rFonts w:ascii="Times New Roman" w:hAnsi="Times New Roman"/>
          <w:sz w:val="20"/>
        </w:rPr>
        <w:t xml:space="preserve">. For the avoidance of doubt, for purposes of the Notes, (a) this Article 6 modifies and supersedes Sections 501, 502, 506, 507, 512 and 513 of the </w:t>
      </w:r>
    </w:p>
    <w:p>
      <w:pPr>
        <w:pStyle w:val="TextBody"/>
        <w:bidi w:val="0"/>
        <w:spacing w:before="240" w:after="0"/>
        <w:jc w:val="left"/>
        <w:rPr>
          <w:rFonts w:ascii="Times New Roman" w:hAnsi="Times New Roman"/>
          <w:sz w:val="20"/>
        </w:rPr>
      </w:pPr>
      <w:r>
        <w:rPr>
          <w:rFonts w:ascii="Times New Roman" w:hAnsi="Times New Roman"/>
          <w:sz w:val="20"/>
        </w:rPr>
        <w:t xml:space="preserve">Base Indenture and (b) all remaining provisions of Article Five of the Base Indenture shall apply to the Notes. </w:t>
      </w:r>
    </w:p>
    <w:p>
      <w:pPr>
        <w:pStyle w:val="TextBody"/>
        <w:bidi w:val="0"/>
        <w:spacing w:before="480" w:after="0"/>
        <w:jc w:val="center"/>
        <w:rPr>
          <w:rFonts w:ascii="Times New Roman" w:hAnsi="Times New Roman"/>
          <w:sz w:val="20"/>
        </w:rPr>
      </w:pPr>
      <w:r>
        <w:rPr>
          <w:rFonts w:ascii="Times New Roman" w:hAnsi="Times New Roman"/>
          <w:sz w:val="20"/>
        </w:rPr>
        <w:t xml:space="preserve">ARTICLE 7 </w:t>
      </w:r>
    </w:p>
    <w:p>
      <w:pPr>
        <w:pStyle w:val="TextBody"/>
        <w:bidi w:val="0"/>
        <w:spacing w:before="120" w:after="0"/>
        <w:jc w:val="center"/>
        <w:rPr>
          <w:rFonts w:ascii="Times New Roman" w:hAnsi="Times New Roman"/>
          <w:sz w:val="20"/>
        </w:rPr>
      </w:pPr>
      <w:r>
        <w:rPr>
          <w:rFonts w:ascii="Times New Roman" w:hAnsi="Times New Roman"/>
          <w:sz w:val="20"/>
        </w:rPr>
        <w:t xml:space="preserve">[RESERVED] </w:t>
      </w:r>
    </w:p>
    <w:p>
      <w:pPr>
        <w:pStyle w:val="TextBody"/>
        <w:bidi w:val="0"/>
        <w:spacing w:before="480" w:after="0"/>
        <w:jc w:val="center"/>
        <w:rPr>
          <w:rFonts w:ascii="Times New Roman" w:hAnsi="Times New Roman"/>
          <w:sz w:val="20"/>
        </w:rPr>
      </w:pPr>
      <w:r>
        <w:rPr>
          <w:rFonts w:ascii="Times New Roman" w:hAnsi="Times New Roman"/>
          <w:sz w:val="20"/>
        </w:rPr>
        <w:t xml:space="preserve">ARTICLE 8 </w:t>
      </w:r>
    </w:p>
    <w:p>
      <w:pPr>
        <w:pStyle w:val="TextBody"/>
        <w:bidi w:val="0"/>
        <w:spacing w:before="120" w:after="0"/>
        <w:jc w:val="center"/>
        <w:rPr>
          <w:rFonts w:ascii="Times New Roman" w:hAnsi="Times New Roman"/>
          <w:sz w:val="20"/>
        </w:rPr>
      </w:pPr>
      <w:r>
        <w:rPr>
          <w:rFonts w:ascii="Times New Roman" w:hAnsi="Times New Roman"/>
          <w:sz w:val="20"/>
        </w:rPr>
        <w:t xml:space="preserve">LEGAL DEFEASANCE AND COVENANT </w:t>
      </w:r>
    </w:p>
    <w:p>
      <w:pPr>
        <w:pStyle w:val="TextBody"/>
        <w:bidi w:val="0"/>
        <w:spacing w:before="0" w:after="0"/>
        <w:jc w:val="center"/>
        <w:rPr>
          <w:rFonts w:ascii="Times New Roman" w:hAnsi="Times New Roman"/>
          <w:sz w:val="20"/>
        </w:rPr>
      </w:pPr>
      <w:r>
        <w:rPr>
          <w:rFonts w:ascii="Times New Roman" w:hAnsi="Times New Roman"/>
          <w:sz w:val="20"/>
        </w:rPr>
        <w:t xml:space="preserve">DEFEASANCE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sz w:val="20"/>
          <w:u w:val="single"/>
        </w:rPr>
        <w:t>Legal Defeasance and Covenant Defeasance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may at any time, at the option of its Board of Directors evidenced by a resolution set forth in an Officers’ Certificate, elect to have either clause (b) or (c) below applied to all outstanding Notes upon compliance with the conditions set forth in Section 8.02. </w:t>
      </w:r>
    </w:p>
    <w:p>
      <w:pPr>
        <w:pStyle w:val="TextBody"/>
        <w:bidi w:val="0"/>
        <w:spacing w:before="240" w:after="0"/>
        <w:jc w:val="left"/>
        <w:rPr>
          <w:rFonts w:ascii="Times New Roman" w:hAnsi="Times New Roman"/>
          <w:sz w:val="20"/>
        </w:rPr>
      </w:pPr>
      <w:r>
        <w:rPr>
          <w:rFonts w:ascii="Times New Roman" w:hAnsi="Times New Roman"/>
          <w:sz w:val="20"/>
        </w:rPr>
        <w:t>(b) Upon the Company’s exercise under clause (a) hereof of the option applicable to this paragraph (b), the Company shall, subject to the satisfaction of the conditions set forth in Section 8.02, be deemed to have been discharged from its obligations with respect to all outstanding Notes on the date the conditions set forth below are satisfied (hereinafter, “</w:t>
      </w:r>
      <w:r>
        <w:rPr>
          <w:rFonts w:ascii="Times New Roman" w:hAnsi="Times New Roman"/>
          <w:sz w:val="20"/>
          <w:u w:val="single"/>
        </w:rPr>
        <w:t>Le</w:t>
      </w:r>
      <w:r>
        <w:rPr>
          <w:rFonts w:ascii="Times New Roman" w:hAnsi="Times New Roman"/>
          <w:sz w:val="20"/>
        </w:rPr>
        <w:t>g</w:t>
      </w:r>
      <w:r>
        <w:rPr>
          <w:rFonts w:ascii="Times New Roman" w:hAnsi="Times New Roman"/>
          <w:sz w:val="20"/>
          <w:u w:val="single"/>
        </w:rPr>
        <w:t>al Defeasance</w:t>
      </w:r>
      <w:r>
        <w:rPr>
          <w:rFonts w:ascii="Times New Roman" w:hAnsi="Times New Roman"/>
          <w:sz w:val="20"/>
        </w:rPr>
        <w:t xml:space="preserve">”). For this purpose, Legal Defeasance means that the Company shall be deemed to have paid and discharged the entire Indebtedness represented by the outstanding Notes, which shall thereafter be deemed to be “outstanding” only for the purposes of Section 8.03 and the other Sections of this Indenture referred to in sub-clauses (i) and (ii) in this paragraph, and to have satisfied all its other obligations under such Notes and this Indenture (and the Trustee, on demand of and at the expense of the Company, shall execute proper instruments acknowledging the same), except for the following provisions, which shall survive until otherwise terminated or discharged hereunder: (i) the rights of Holders of outstanding Notes to receive solely from the trust fund described in Section 8.03, and as more fully set forth in such Section, payments in respect of the principal of, premium, if any, and interest on such Notes when such payments are due, (ii) the Company’s obligations with respect to such Notes under Article 2 and Section 4.02 and under Sections 305, 306 and 1003 of the Base Indenture, (iii) the rights, powers, trusts, duties and immunities of the Trustee hereunder and under the Base Indenture and the Company’s obligations in connection therewith and (iv) this Article 8. Subject to compliance with this Article 8, the Company may exercise its option under this paragraph (b) notwithstanding the prior exercise of its option under paragraph (c)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Upon the Company’s exercise under paragraph (a) hereof of the option applicable to this clause (c), the Company shall, subject to the satisfaction of the conditions set forth in Section 8.02, be released from its obligations under the covenants contained in Sections 4.03, 4.05, 4.07, 4.08 and 5.01 with respect to the outstanding Notes on and after the date the conditions set forth below are satisfied (hereinafter, “</w:t>
      </w:r>
      <w:r>
        <w:rPr>
          <w:rFonts w:ascii="Times New Roman" w:hAnsi="Times New Roman"/>
          <w:sz w:val="20"/>
          <w:u w:val="single"/>
        </w:rPr>
        <w:t>Covenant Defeasance</w:t>
      </w:r>
      <w:r>
        <w:rPr>
          <w:rFonts w:ascii="Times New Roman" w:hAnsi="Times New Roman"/>
          <w:sz w:val="20"/>
        </w:rPr>
        <w:t xml:space="preserve">”),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such Covenant Defeasance means that, with respect to the outstanding Notes, the Company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6.01(c), but, except as specified above, the remainder of this Indenture and such Notes shall be unaffected thereby. In addition, upon the Company’s exercise under paragraph (a) hereof of the option applicable to this paragraph (c), subject to the satisfaction of the conditions set forth in Section 8.03 hereof, Section 6.01(c) shall not constitute an Event of Default with respect to Sections 4.03, 4.05, 4.07, 4.08 or 5.01 or any other covenants or agreements in this Indenture or the Notes and Sections 6.01(d), 6.01(e) (solely with respect to any Significant Subsidiary (or a group of Restricted Subsidiaries that, taken together, would constitute a Significant Subsidiary)) and 6.01(f) (solely with respect to any Significant Subsidiary (or a group of Restricted Subsidiaries that, taken together, would constitute a Significant Subsidiary)) shall not constitute Events of Default. </w:t>
      </w:r>
    </w:p>
    <w:p>
      <w:pPr>
        <w:pStyle w:val="TextBody"/>
        <w:bidi w:val="0"/>
        <w:spacing w:before="240" w:after="0"/>
        <w:jc w:val="left"/>
        <w:rPr>
          <w:rFonts w:ascii="Times New Roman" w:hAnsi="Times New Roman"/>
          <w:sz w:val="20"/>
        </w:rPr>
      </w:pPr>
      <w:r>
        <w:rPr>
          <w:rFonts w:ascii="Times New Roman" w:hAnsi="Times New Roman"/>
          <w:sz w:val="20"/>
        </w:rPr>
        <w:t xml:space="preserve">Section 8.02 </w:t>
      </w:r>
      <w:r>
        <w:rPr>
          <w:rFonts w:ascii="Times New Roman" w:hAnsi="Times New Roman"/>
          <w:sz w:val="20"/>
          <w:u w:val="single"/>
        </w:rPr>
        <w:t>Conditions to Legal Defeasance or Covenant Defeasance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shall be the conditions to the application of either Section 8.01(b) or 8.01(c) to the outstanding Notes: </w:t>
      </w:r>
    </w:p>
    <w:p>
      <w:pPr>
        <w:pStyle w:val="TextBody"/>
        <w:bidi w:val="0"/>
        <w:spacing w:before="120" w:after="0"/>
        <w:jc w:val="left"/>
        <w:rPr>
          <w:rFonts w:ascii="Times New Roman" w:hAnsi="Times New Roman"/>
          <w:sz w:val="20"/>
        </w:rPr>
      </w:pPr>
      <w:r>
        <w:rPr>
          <w:rFonts w:ascii="Times New Roman" w:hAnsi="Times New Roman"/>
          <w:sz w:val="20"/>
        </w:rPr>
        <w:t xml:space="preserve">In order to exercise either Legal Defeasance or Covenant Defeasance: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has deposited with the Trustee, in trust, money and/or U.S. Government Obligations that through the payment of interest and principal in respect thereof in accordance with their terms will provide money in an amount sufficient to pay the principal of, premium, if any, and accrued interest on the Notes on the Stated Maturity of such payments in accordance with the terms of this Indenture and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the case of the Company’s exercise of its option under Section 8.01(b) to effect a Legal Defeasance, the Company has delivered to the Trustee an Opinion of Counsel (which Opinion of Counsel may be subject to customary assumptions, qualifications and exclusions) to the effect that the Holders and beneficial owners of the Notes will not recognize income, gain or loss for U.S. federal income tax purposes as a result of the Company’s exercise of such option and will be subject to U.S. federal income tax on the same amounts, in the same manner and at the same times as would have been the case if such deposit, defeasance and discharge had not occurred, which Opinion of Counsel must refer to, and be based upon, (i) a ruling of the Internal Revenue Service or (ii) a change in applicable U.S. federal income tax law occurring after the Issue Date; </w:t>
      </w:r>
    </w:p>
    <w:p>
      <w:pPr>
        <w:pStyle w:val="TextBody"/>
        <w:bidi w:val="0"/>
        <w:spacing w:before="120" w:after="0"/>
        <w:jc w:val="left"/>
        <w:rPr>
          <w:rFonts w:ascii="Times New Roman" w:hAnsi="Times New Roman"/>
          <w:sz w:val="20"/>
        </w:rPr>
      </w:pPr>
      <w:r>
        <w:rPr>
          <w:rFonts w:ascii="Times New Roman" w:hAnsi="Times New Roman"/>
          <w:sz w:val="20"/>
        </w:rPr>
        <w:t xml:space="preserve">(C) in the case of the Company’s exercise of its option under Section 8.01(c) to effect a Covenant Defeasance, the Company has delivered to the Trustee an Opinion of Counsel (which Opinion of Counsel may be subject to customary assumptions, qualifications and exclusions) to the effect that the Holders and beneficial owners of the Notes will not recognize income, gain or loss for U.S. federal income tax purposes as a result of the Company’s exercise of such option and will be subject to U.S. federal income tax on the same amounts, in the same manner and at the same times as would have been the case if such deposit and defeasance had not occurred; </w:t>
      </w:r>
    </w:p>
    <w:p>
      <w:pPr>
        <w:pStyle w:val="TextBody"/>
        <w:bidi w:val="0"/>
        <w:spacing w:before="120" w:after="0"/>
        <w:jc w:val="left"/>
        <w:rPr>
          <w:rFonts w:ascii="Times New Roman" w:hAnsi="Times New Roman"/>
          <w:sz w:val="20"/>
        </w:rPr>
      </w:pPr>
      <w:r>
        <w:rPr>
          <w:rFonts w:ascii="Times New Roman" w:hAnsi="Times New Roman"/>
          <w:sz w:val="20"/>
        </w:rPr>
        <w:t xml:space="preserve">(D) immediately after giving effect to such deposit on a </w:t>
      </w:r>
      <w:r>
        <w:rPr>
          <w:rFonts w:ascii="Times New Roman" w:hAnsi="Times New Roman"/>
          <w:i/>
          <w:sz w:val="20"/>
        </w:rPr>
        <w:t xml:space="preserve">pro forma </w:t>
      </w:r>
      <w:r>
        <w:rPr>
          <w:rFonts w:ascii="Times New Roman" w:hAnsi="Times New Roman"/>
          <w:sz w:val="20"/>
        </w:rPr>
        <w:t xml:space="preserve">basis, no Event of Default, or event that after the giving of notice or lapse of time or both would become an Event of Default, shall have occurred and be continuing on the date of such deposit, and such deposit shall not result in a breach or violation of, or constitute a default under, any other material agreement or instrument to which the Company or any of its Subsidiaries is a party or by which the Company or any of its Subsidiaries is bound; and </w:t>
      </w:r>
    </w:p>
    <w:p>
      <w:pPr>
        <w:pStyle w:val="TextBody"/>
        <w:bidi w:val="0"/>
        <w:spacing w:before="120" w:after="0"/>
        <w:jc w:val="left"/>
        <w:rPr>
          <w:rFonts w:ascii="Times New Roman" w:hAnsi="Times New Roman"/>
          <w:sz w:val="20"/>
        </w:rPr>
      </w:pPr>
      <w:r>
        <w:rPr>
          <w:rFonts w:ascii="Times New Roman" w:hAnsi="Times New Roman"/>
          <w:sz w:val="20"/>
        </w:rPr>
        <w:t xml:space="preserve">(E) the Company shall have delivered to the Trustee an Officers’ Certificate stating that the deposit was not made with the intent of defeating, hindering, delaying or defrauding any creditors of the Company or others. </w:t>
      </w:r>
    </w:p>
    <w:p>
      <w:pPr>
        <w:pStyle w:val="TextBody"/>
        <w:bidi w:val="0"/>
        <w:spacing w:before="240" w:after="0"/>
        <w:jc w:val="left"/>
        <w:rPr>
          <w:rFonts w:ascii="Times New Roman" w:hAnsi="Times New Roman"/>
          <w:sz w:val="20"/>
        </w:rPr>
      </w:pPr>
      <w:r>
        <w:rPr>
          <w:rFonts w:ascii="Times New Roman" w:hAnsi="Times New Roman"/>
          <w:sz w:val="20"/>
        </w:rPr>
        <w:t xml:space="preserve">Section 8.03 </w:t>
      </w:r>
      <w:r>
        <w:rPr>
          <w:rFonts w:ascii="Times New Roman" w:hAnsi="Times New Roman"/>
          <w:sz w:val="20"/>
          <w:u w:val="single"/>
        </w:rPr>
        <w:t>Deposited Money and U.S. Government Obligations to Be Held in Trust; Other Miscellaneous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or Paying Agent shall hold in trust all money or U.S. Government Obligations deposited with it pursuant to this Article 8, and shall apply the deposited money and U.S. Government Obligations in accordance with this Indenture to the payment of principal of, premium, if any, and interest on the Notes.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pay and indemnify the Trustee against any tax, fee or other charge imposed on or assessed against the money or U.S. Government Obligations deposited pursuant to Section 8.02 hereof or the principal, premium, if any, and interest received in respect thereof other than any such tax, fee or other charge which by law is for the account of the Holders of the outstanding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Anything in this Article 8 to the contrary notwithstanding, the Trustee shall deliver or pay to the Company from time to time upon the Company’s written request any money or U.S. Government Obligations held by it as provided in Section 8.02 which, in the opinion of a nationally recognized firm of certified public accountants expressed in a written certification thereof delivered to the Trustee, are in excess of the amount thereof that would then be required to be deposited to effect an equivalent Legal Defeasance or Covenant Defeasance. </w:t>
      </w:r>
    </w:p>
    <w:p>
      <w:pPr>
        <w:pStyle w:val="TextBody"/>
        <w:bidi w:val="0"/>
        <w:spacing w:before="240" w:after="0"/>
        <w:jc w:val="left"/>
        <w:rPr>
          <w:rFonts w:ascii="Times New Roman" w:hAnsi="Times New Roman"/>
          <w:sz w:val="20"/>
        </w:rPr>
      </w:pPr>
      <w:r>
        <w:rPr>
          <w:rFonts w:ascii="Times New Roman" w:hAnsi="Times New Roman"/>
          <w:sz w:val="20"/>
        </w:rPr>
        <w:t xml:space="preserve">Section 8.04 </w:t>
      </w:r>
      <w:r>
        <w:rPr>
          <w:rFonts w:ascii="Times New Roman" w:hAnsi="Times New Roman"/>
          <w:sz w:val="20"/>
          <w:u w:val="single"/>
        </w:rPr>
        <w:t>Repayment to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and the Paying Agent shall pay to the Company upon written request any money held by them for the payment of principal, premium, if any, or interest that remains unclaimed for two years; </w:t>
      </w:r>
      <w:r>
        <w:rPr>
          <w:rFonts w:ascii="Times New Roman" w:hAnsi="Times New Roman"/>
          <w:i/>
          <w:sz w:val="20"/>
        </w:rPr>
        <w:t xml:space="preserve">provided </w:t>
      </w:r>
      <w:r>
        <w:rPr>
          <w:rFonts w:ascii="Times New Roman" w:hAnsi="Times New Roman"/>
          <w:sz w:val="20"/>
        </w:rPr>
        <w:t xml:space="preserve">that the Trustee or such Paying Agent, before being required to make any payment, may at the expense of the Company cause to be published once in a newspaper of general circulation in The City of New York or mail to each Holder entitled to such money notice that such money remains unclaimed and that after a date specified therein which shall be at least 30 days from the date of such publication or mailing any unclaimed balance of such money then remaining shall be repaid to the Company. After payment to the Company, Holders entitled to such money must look to the Company for payment as general creditors unless an applicable law designates another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8.05 </w:t>
      </w:r>
      <w:r>
        <w:rPr>
          <w:rFonts w:ascii="Times New Roman" w:hAnsi="Times New Roman"/>
          <w:sz w:val="20"/>
          <w:u w:val="single"/>
        </w:rPr>
        <w:t>Reinstatement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or Paying Agent is unable to apply any money or U.S. Government Obligations in accordance with this Article 8 by reason of any legal proceeding or by reason of any order or judgment of any court or governmental authority enjoining, restraining or otherwise prohibiting such application, the Company’s obligations under this Indenture and the Notes shall be revived and reinstated as though no deposit had occurred pursuant to this Article 8 until such time as the Trustee or Paying Agent is permitted to apply all such money or U.S. Government Obligations in accordance with this Article 8; </w:t>
      </w:r>
      <w:r>
        <w:rPr>
          <w:rFonts w:ascii="Times New Roman" w:hAnsi="Times New Roman"/>
          <w:i/>
          <w:sz w:val="20"/>
        </w:rPr>
        <w:t xml:space="preserve">provided </w:t>
      </w:r>
      <w:r>
        <w:rPr>
          <w:rFonts w:ascii="Times New Roman" w:hAnsi="Times New Roman"/>
          <w:sz w:val="20"/>
        </w:rPr>
        <w:t xml:space="preserve">that if the Company has made any payment of interest on, premium, if any, or principal of any Notes because of the reinstatement of its obligations, the Company shall be subrogated to the rights of the Holders of such Notes to receive such payment from the money or U.S. Government Obligations held by the Trustee or Paying Agent. </w:t>
      </w:r>
    </w:p>
    <w:p>
      <w:pPr>
        <w:pStyle w:val="TextBody"/>
        <w:bidi w:val="0"/>
        <w:spacing w:before="480" w:after="0"/>
        <w:jc w:val="center"/>
        <w:rPr>
          <w:rFonts w:ascii="Times New Roman" w:hAnsi="Times New Roman"/>
          <w:sz w:val="20"/>
        </w:rPr>
      </w:pPr>
      <w:r>
        <w:rPr>
          <w:rFonts w:ascii="Times New Roman" w:hAnsi="Times New Roman"/>
          <w:sz w:val="20"/>
        </w:rPr>
        <w:t xml:space="preserve">ARTICLE 9 </w:t>
      </w:r>
    </w:p>
    <w:p>
      <w:pPr>
        <w:pStyle w:val="TextBody"/>
        <w:bidi w:val="0"/>
        <w:spacing w:before="120" w:after="0"/>
        <w:jc w:val="center"/>
        <w:rPr>
          <w:rFonts w:ascii="Times New Roman" w:hAnsi="Times New Roman"/>
          <w:sz w:val="20"/>
        </w:rPr>
      </w:pPr>
      <w:r>
        <w:rPr>
          <w:rFonts w:ascii="Times New Roman" w:hAnsi="Times New Roman"/>
          <w:sz w:val="20"/>
        </w:rPr>
        <w:t xml:space="preserve">AMENDMENT, SUPPLEMENT AND WAIVER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Without Consent of Holders of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Section 9.02 of this Indenture, the Company and the Trustee, together, may amend or supplement this Indenture and the Notes without notice to or consent of any Holder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the succession of another Person to the Company and the assumption by any such successor of the covenants of the Company contained in this Indenture and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the covenants of the Company or make any change that, in the good faith opinion of the Board of Directors, does not adversely affect the rights of any Holder in any material respect or to surrender any right or power conferred in this Indenture upon the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any additional Events of Default for the benefit of the Holders of the Notes;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respect of any such additional Events of Default such supplemental indenture may provide for a particular period of grace after Default (which period may be shorter or longer than that allowed in the case of other Defaults) or may provide for an immediate enforcement upon such Default or may limit the remedies available to the Trustee upon such Default or may limit the right of the Holders of a majority in aggregate principal amount of the Notes to waive such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collateral to secure the Notes and the release of such collateral in accordance with the terms of this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of appointment hereunder by a successor Trustee with respect to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to correct or supplement any provision in this Indenture which may be defective or inconsistent with any other provision in this Indenture, or to make any other provisions with respect to matters or questions arising under this Indenture which shall not be inconsistent with the provisions of this Indenture or to make any other changes; </w:t>
            </w:r>
            <w:r>
              <w:rPr>
                <w:rFonts w:ascii="Times New Roman" w:hAnsi="Times New Roman"/>
                <w:i/>
                <w:sz w:val="20"/>
              </w:rPr>
              <w:t>provided</w:t>
            </w:r>
            <w:r>
              <w:rPr>
                <w:rFonts w:ascii="Times New Roman" w:hAnsi="Times New Roman"/>
                <w:sz w:val="20"/>
              </w:rPr>
              <w:t xml:space="preserve"> that, in each case, such provisions shall not adversely affect the interests of the Holders of Notes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(7)</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 with any requirements of the SEC or to qualify, or maintain qualification of, this Indenture under the TIA;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 with the rules of any applicable Depositary;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(9)</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guarantees of the Notes and the release of such guarantees in accordance with the terms of this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(10)</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facilitate the defeasance and discharge of the Notes in accordance with the terms of this Indenture, in each case that any such action shall not adversely affect the interests of the Holders of the Notes in any material respect;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conform the text of this Indenture or the Notes to any provision of the “Description of Notes” set forth in the Prospectus Supplement to the extent such provision was intended to be a </w:t>
            </w:r>
            <w:r>
              <w:rPr>
                <w:rFonts w:ascii="Times New Roman" w:hAnsi="Times New Roman"/>
                <w:i/>
                <w:sz w:val="20"/>
              </w:rPr>
              <w:t>verbatim</w:t>
            </w:r>
            <w:r>
              <w:rPr>
                <w:rFonts w:ascii="Times New Roman" w:hAnsi="Times New Roman"/>
                <w:sz w:val="20"/>
              </w:rPr>
              <w:t xml:space="preserve"> recitation thereof; </w:t>
            </w:r>
          </w:p>
        </w:tc>
      </w:tr>
    </w:tbl>
    <w:p>
      <w:pPr>
        <w:pStyle w:val="TextBody"/>
        <w:bidi w:val="0"/>
        <w:spacing w:before="240" w:after="0"/>
        <w:jc w:val="left"/>
        <w:rPr>
          <w:rFonts w:ascii="Times New Roman" w:hAnsi="Times New Roman"/>
          <w:sz w:val="20"/>
        </w:rPr>
      </w:pPr>
      <w:r>
        <w:rPr>
          <w:rFonts w:ascii="Times New Roman" w:hAnsi="Times New Roman"/>
          <w:i/>
          <w:sz w:val="20"/>
        </w:rPr>
        <w:t xml:space="preserve">provided </w:t>
      </w:r>
      <w:r>
        <w:rPr>
          <w:rFonts w:ascii="Times New Roman" w:hAnsi="Times New Roman"/>
          <w:sz w:val="20"/>
        </w:rPr>
        <w:t xml:space="preserve">that the Company has delivered to the Trustee an Opinion of Counsel and an Officers’ Certificate, each stating that such amendment or supplement complies with the provisions of this Section 9.01.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9.02 </w:t>
      </w:r>
      <w:r>
        <w:rPr>
          <w:rFonts w:ascii="Times New Roman" w:hAnsi="Times New Roman"/>
          <w:sz w:val="20"/>
          <w:u w:val="single"/>
        </w:rPr>
        <w:t>With Consent of Holders of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Section 508 of the Base Indenture, the Company and the Trustee, together, with the written consent of the Holder or Holders of not less than a majority in aggregate principal amount of the outstanding Notes (including, for the avoidance of doubt, consents obtained in connection with a purchase of, or tender offer (including a Change of Control Offer) or exchange offer for, the Notes), may amend or supplement this Indenture or the Notes without notice to any other Holders. Subject to Section 508 of the Base Indenture, the Holder or Holders of a majority in aggregate principal amount of the then outstanding Notes may waive compliance by the Company with any provision of this Indenture or the Notes without notice to any other Holder. Without the consent of each Holder affected, however, no amendment, supplement or waiver, including a waiver pursuant to (and to the extent provided in) Section 6.04, may: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Stated Maturity of the principal of (or premium, if any, on) or any installment of principal of or interest on, any Note, or reduce the principal amount of any Note or the rate or amount of interest thereon , or any premium payable upon the redemption thereof, or reduce the amount of the principal of any Note or any premium, if any, that would be due and payable upon a declaration of acceleration of the Stated Maturity thereof pursuant to Section 6.02 hereof or the amount thereof provable in bankruptcy pursuant to Section 504 of the Base Indenture, or adversely affect any right of repayment at the option of the Holder of any Note,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any Place of Payment where, or the currency in which, the principal of any Note or any premium payable in respect thereof or the interest thereon is payable,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the right to institute suit for the enforcement of any such payment on or after the Stated Maturity of any Note (or, in the case of redemption or repayment at the option of the Holder, on or after the redemption date or the repayment date, as the case may 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or aggregate principal amount of the outstanding Notes, the consent of whose Holders is required pursuant to this Indenture, or the consent of whose Holders is required for any waiver with respect to the Notes (or compliance with certain provisions of this Indenture or certain Defaults under this Indenture and their consequences) pursuant to this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any of the provisions of this Section 9.02 or Section 6.04 hereof, except to increase the required percentage to effect such action or to provide that certain other provisions of this Indenture cannot be modified or waived without the consent of the Holder of each outstanding Note affected thereby;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or modify any of the provisions of this Indenture in any manner which subordinates the Notes issued hereunder in right of payment to any other Indebtedness of the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 xml:space="preserve">provided </w:t>
      </w:r>
      <w:r>
        <w:rPr>
          <w:rFonts w:ascii="Times New Roman" w:hAnsi="Times New Roman"/>
          <w:sz w:val="20"/>
        </w:rPr>
        <w:t xml:space="preserve">that (a) the Company has delivered to the Trustee an Opinion of Counsel and an Officers’ Certificate, each stating that such amendment or supplement complies with the provisions of this Section 9.02, and (b) the Trustee has received evidence satisfactory to it that the requisite consent has been obtained. </w:t>
      </w:r>
    </w:p>
    <w:p>
      <w:pPr>
        <w:pStyle w:val="TextBody"/>
        <w:bidi w:val="0"/>
        <w:spacing w:before="240" w:after="0"/>
        <w:jc w:val="left"/>
        <w:rPr>
          <w:rFonts w:ascii="Times New Roman" w:hAnsi="Times New Roman"/>
          <w:sz w:val="20"/>
        </w:rPr>
      </w:pPr>
      <w:r>
        <w:rPr>
          <w:rFonts w:ascii="Times New Roman" w:hAnsi="Times New Roman"/>
          <w:sz w:val="20"/>
        </w:rPr>
        <w:t xml:space="preserve">It shall not be necessary for the consent of the Holders under this Section 9.02 to approve the particular form of any proposed amendment, supplement or waiver, but it shall be sufficient if such consent approves the substance thereof. </w:t>
      </w:r>
    </w:p>
    <w:p>
      <w:pPr>
        <w:pStyle w:val="TextBody"/>
        <w:bidi w:val="0"/>
        <w:spacing w:before="240" w:after="0"/>
        <w:jc w:val="left"/>
        <w:rPr>
          <w:rFonts w:ascii="Times New Roman" w:hAnsi="Times New Roman"/>
          <w:sz w:val="20"/>
        </w:rPr>
      </w:pPr>
      <w:r>
        <w:rPr>
          <w:rFonts w:ascii="Times New Roman" w:hAnsi="Times New Roman"/>
          <w:sz w:val="20"/>
        </w:rPr>
        <w:t xml:space="preserve">After an amendment, supplement or waiver under this Section 9.02 becomes effective, the Company shall mail to the Holders affected thereby a notice briefly describing the amendment, supplement or waiver. Any failure of the Company to mail such notice, or any defect therein, shall not, however, in any way impair or affect the validity of any such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For avoidance of doubt, changes to any notice provisions for any redemptions may be amended with the consent of Holders of a majority of the principal amount of Notes then outstanding. </w:t>
      </w:r>
    </w:p>
    <w:p>
      <w:pPr>
        <w:pStyle w:val="TextBody"/>
        <w:bidi w:val="0"/>
        <w:spacing w:before="240" w:after="0"/>
        <w:jc w:val="left"/>
        <w:rPr>
          <w:rFonts w:ascii="Times New Roman" w:hAnsi="Times New Roman"/>
          <w:sz w:val="20"/>
        </w:rPr>
      </w:pPr>
      <w:r>
        <w:rPr>
          <w:rFonts w:ascii="Times New Roman" w:hAnsi="Times New Roman"/>
          <w:sz w:val="20"/>
        </w:rPr>
        <w:t xml:space="preserve">Section 9.03 </w:t>
      </w:r>
      <w:r>
        <w:rPr>
          <w:rFonts w:ascii="Times New Roman" w:hAnsi="Times New Roman"/>
          <w:sz w:val="20"/>
          <w:u w:val="single"/>
        </w:rPr>
        <w:t>Compliance with Trust Indenture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Every amendment, waiver or supplement of this Indenture or the Notes shall comply with the TIA as then in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9.04 </w:t>
      </w:r>
      <w:r>
        <w:rPr>
          <w:rFonts w:ascii="Times New Roman" w:hAnsi="Times New Roman"/>
          <w:sz w:val="20"/>
          <w:u w:val="single"/>
        </w:rPr>
        <w:t>Revocation and Effect of Consents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Until an amendment, waiver or supplement becomes effective, a consent to it by a Holder is a continuing consent by the Holder and every subsequent Holder of a Note or portion of a Note that evidences the same debt as the consenting Holder’s Note, even if notation of the consent is not made on any Note. However, any such Holder or subsequent Holder may revoke the consent as to his Note or portion of his Note by notice to the Trustee or the Company received before the date on which the Trustee receives an Officers’ Certificate certifying that the Holders of the requisite principal amount of Notes have consented (and not theretofore revoked such consent) to the amendment, supplement or waiver.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but shall not be obligated to, fix a record date for the purpose of determining the Holders entitled to consent to any amendment, supplement or waiver. If a record date is fixed, then notwithstanding the last sentence of the immediately preceding paragraph, those Persons who were Holders at such record date (or their duly designated proxies), and only those Persons, shall be entitled to revoke any consent previously given, whether or not such Persons continue to be Holders after such record date. No such consent shall be valid or effective for more than 90 days after such record date. </w:t>
      </w:r>
    </w:p>
    <w:p>
      <w:pPr>
        <w:pStyle w:val="TextBody"/>
        <w:bidi w:val="0"/>
        <w:spacing w:before="240" w:after="0"/>
        <w:jc w:val="left"/>
        <w:rPr>
          <w:rFonts w:ascii="Times New Roman" w:hAnsi="Times New Roman"/>
          <w:sz w:val="20"/>
        </w:rPr>
      </w:pPr>
      <w:r>
        <w:rPr>
          <w:rFonts w:ascii="Times New Roman" w:hAnsi="Times New Roman"/>
          <w:sz w:val="20"/>
        </w:rPr>
        <w:t xml:space="preserve">After an amendment, supplement or waiver becomes effective, it shall bind every Holder, unless it makes a change described in any of clauses (1) through (8) of Section 9.02, in which case, the amendment, supplement or waiver shall bind only each Holder of a Note who has consented to it and every subsequent Holder of a Note or portion of a Note that evidences the same debt as the consenting Holder’s Note; </w:t>
      </w:r>
      <w:r>
        <w:rPr>
          <w:rFonts w:ascii="Times New Roman" w:hAnsi="Times New Roman"/>
          <w:i/>
          <w:sz w:val="20"/>
        </w:rPr>
        <w:t xml:space="preserve">provided </w:t>
      </w:r>
      <w:r>
        <w:rPr>
          <w:rFonts w:ascii="Times New Roman" w:hAnsi="Times New Roman"/>
          <w:sz w:val="20"/>
        </w:rPr>
        <w:t xml:space="preserve">that any such waiver shall not impair or affect the right of any Holder to receive payment of principal of, premium, if any, and interest on a Note, on or after the respective due dates expressed in such Note, or to bring suit for the enforcement of any such payment on or after such respective dates without the consent of such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9.05 </w:t>
      </w:r>
      <w:r>
        <w:rPr>
          <w:rFonts w:ascii="Times New Roman" w:hAnsi="Times New Roman"/>
          <w:sz w:val="20"/>
          <w:u w:val="single"/>
        </w:rPr>
        <w:t>Notation on or Exchange of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 amendment, supplement or waiver changes the terms of a Note, the Company may require the Holder of the Note to deliver it to the Trustee. The Company shall provide the Trustee with an appropriate notation on the Note with respect to the changed terms and cause the Trustee to return it to the Holder at the Company’s expense. Alternatively, if the Company or the Trustee so determines, the Company in exchange for the Note shall issue and the Trustee shall authenticate a new Note that reflects the changed terms. Failure to make the appropriate notation or issue a new Note shall not affect the validity and effect of such amendment, supplement or waiver. </w:t>
      </w:r>
    </w:p>
    <w:p>
      <w:pPr>
        <w:pStyle w:val="TextBody"/>
        <w:bidi w:val="0"/>
        <w:spacing w:before="240" w:after="0"/>
        <w:jc w:val="left"/>
        <w:rPr>
          <w:rFonts w:ascii="Times New Roman" w:hAnsi="Times New Roman"/>
          <w:sz w:val="20"/>
        </w:rPr>
      </w:pPr>
      <w:r>
        <w:rPr>
          <w:rFonts w:ascii="Times New Roman" w:hAnsi="Times New Roman"/>
          <w:sz w:val="20"/>
        </w:rPr>
        <w:t xml:space="preserve">Section 9.06 </w:t>
      </w:r>
      <w:r>
        <w:rPr>
          <w:rFonts w:ascii="Times New Roman" w:hAnsi="Times New Roman"/>
          <w:sz w:val="20"/>
          <w:u w:val="single"/>
        </w:rPr>
        <w:t>Trustee to Sign Amendments, Etc</w:t>
      </w:r>
      <w:r>
        <w:rPr>
          <w:rFonts w:ascii="Times New Roman" w:hAnsi="Times New Roman"/>
          <w:i/>
          <w:sz w:val="20"/>
          <w:u w:val="single"/>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execute any amendment, supplement or waiver authorized pursuant to this Article 9; </w:t>
      </w:r>
      <w:r>
        <w:rPr>
          <w:rFonts w:ascii="Times New Roman" w:hAnsi="Times New Roman"/>
          <w:i/>
          <w:sz w:val="20"/>
        </w:rPr>
        <w:t xml:space="preserve">provided </w:t>
      </w:r>
      <w:r>
        <w:rPr>
          <w:rFonts w:ascii="Times New Roman" w:hAnsi="Times New Roman"/>
          <w:sz w:val="20"/>
        </w:rPr>
        <w:t xml:space="preserve">that the Trustee may, but shall not be obligated to, execute any such amendment, supplement or waiver which affects the Trustee’s own rights, duties or immunities under this Indenture. The Trustee shall be provided with, and shall be fully protected in relying upon, an Opinion of Counsel and an Officers’ Certificate each complying with Sections 13.04 and 13.05 and stating that the execution of any amendment, supplement or waiver authorized pursuant to this Article 9 is authorized or permitted by this Indenture and constitutes the legal, valid and binding obligations of the Company enforceable in accordance with its terms. Such Opinion of Counsel shall be at the expense of the Company. </w:t>
      </w:r>
    </w:p>
    <w:p>
      <w:pPr>
        <w:pStyle w:val="TextBody"/>
        <w:bidi w:val="0"/>
        <w:spacing w:before="480" w:after="0"/>
        <w:jc w:val="center"/>
        <w:rPr>
          <w:rFonts w:ascii="Times New Roman" w:hAnsi="Times New Roman"/>
          <w:sz w:val="20"/>
        </w:rPr>
      </w:pPr>
      <w:r>
        <w:rPr>
          <w:rFonts w:ascii="Times New Roman" w:hAnsi="Times New Roman"/>
          <w:sz w:val="20"/>
        </w:rPr>
        <w:t xml:space="preserve">ARTICLE 10 </w:t>
      </w:r>
    </w:p>
    <w:p>
      <w:pPr>
        <w:pStyle w:val="TextBody"/>
        <w:bidi w:val="0"/>
        <w:spacing w:before="120" w:after="0"/>
        <w:jc w:val="center"/>
        <w:rPr>
          <w:rFonts w:ascii="Times New Roman" w:hAnsi="Times New Roman"/>
          <w:sz w:val="20"/>
        </w:rPr>
      </w:pPr>
      <w:r>
        <w:rPr>
          <w:rFonts w:ascii="Times New Roman" w:hAnsi="Times New Roman"/>
          <w:sz w:val="20"/>
        </w:rPr>
        <w:t xml:space="preserve">[RESERVED] </w:t>
      </w:r>
    </w:p>
    <w:p>
      <w:pPr>
        <w:pStyle w:val="TextBody"/>
        <w:bidi w:val="0"/>
        <w:spacing w:before="480" w:after="0"/>
        <w:jc w:val="center"/>
        <w:rPr>
          <w:rFonts w:ascii="Times New Roman" w:hAnsi="Times New Roman"/>
          <w:sz w:val="20"/>
        </w:rPr>
      </w:pPr>
      <w:r>
        <w:rPr>
          <w:rFonts w:ascii="Times New Roman" w:hAnsi="Times New Roman"/>
          <w:sz w:val="20"/>
        </w:rPr>
        <w:t xml:space="preserve">ARTICLE 11 </w:t>
      </w:r>
    </w:p>
    <w:p>
      <w:pPr>
        <w:pStyle w:val="TextBody"/>
        <w:bidi w:val="0"/>
        <w:spacing w:before="120" w:after="0"/>
        <w:jc w:val="center"/>
        <w:rPr>
          <w:rFonts w:ascii="Times New Roman" w:hAnsi="Times New Roman"/>
          <w:sz w:val="20"/>
        </w:rPr>
      </w:pPr>
      <w:r>
        <w:rPr>
          <w:rFonts w:ascii="Times New Roman" w:hAnsi="Times New Roman"/>
          <w:sz w:val="20"/>
        </w:rPr>
        <w:t xml:space="preserve">[RESERVED] </w:t>
      </w:r>
    </w:p>
    <w:p>
      <w:pPr>
        <w:pStyle w:val="TextBody"/>
        <w:bidi w:val="0"/>
        <w:spacing w:before="480" w:after="0"/>
        <w:jc w:val="center"/>
        <w:rPr>
          <w:rFonts w:ascii="Times New Roman" w:hAnsi="Times New Roman"/>
          <w:sz w:val="20"/>
        </w:rPr>
      </w:pPr>
      <w:r>
        <w:rPr>
          <w:rFonts w:ascii="Times New Roman" w:hAnsi="Times New Roman"/>
          <w:sz w:val="20"/>
        </w:rPr>
        <w:t xml:space="preserve">ARTICLE 12 </w:t>
      </w:r>
    </w:p>
    <w:p>
      <w:pPr>
        <w:pStyle w:val="TextBody"/>
        <w:bidi w:val="0"/>
        <w:spacing w:before="120" w:after="0"/>
        <w:jc w:val="center"/>
        <w:rPr>
          <w:rFonts w:ascii="Times New Roman" w:hAnsi="Times New Roman"/>
          <w:sz w:val="20"/>
        </w:rPr>
      </w:pPr>
      <w:r>
        <w:rPr>
          <w:rFonts w:ascii="Times New Roman" w:hAnsi="Times New Roman"/>
          <w:sz w:val="20"/>
        </w:rPr>
        <w:t xml:space="preserve">SATISFACTION AND DISCHARGE </w:t>
      </w:r>
    </w:p>
    <w:p>
      <w:pPr>
        <w:pStyle w:val="TextBody"/>
        <w:bidi w:val="0"/>
        <w:spacing w:before="240" w:after="0"/>
        <w:jc w:val="left"/>
        <w:rPr>
          <w:rFonts w:ascii="Times New Roman" w:hAnsi="Times New Roman"/>
          <w:sz w:val="20"/>
        </w:rPr>
      </w:pPr>
      <w:r>
        <w:rPr>
          <w:rFonts w:ascii="Times New Roman" w:hAnsi="Times New Roman"/>
          <w:sz w:val="20"/>
        </w:rPr>
        <w:t xml:space="preserve">Section 12.01 </w:t>
      </w:r>
      <w:r>
        <w:rPr>
          <w:rFonts w:ascii="Times New Roman" w:hAnsi="Times New Roman"/>
          <w:sz w:val="20"/>
          <w:u w:val="single"/>
        </w:rPr>
        <w:t>Satisfaction and Discharge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shall be discharged and shall cease to be of further effect (except as to surviving rights of registration of transfer or exchange of the Notes, as expressly provided for in this Indenture) as to all outstanding Notes when: </w:t>
      </w:r>
    </w:p>
    <w:p>
      <w:pPr>
        <w:pStyle w:val="TextBody"/>
        <w:bidi w:val="0"/>
        <w:spacing w:before="120" w:after="0"/>
        <w:jc w:val="left"/>
        <w:rPr>
          <w:rFonts w:ascii="Times New Roman" w:hAnsi="Times New Roman"/>
          <w:sz w:val="20"/>
        </w:rPr>
      </w:pPr>
      <w:r>
        <w:rPr>
          <w:rFonts w:ascii="Times New Roman" w:hAnsi="Times New Roman"/>
          <w:sz w:val="20"/>
        </w:rPr>
        <w:t xml:space="preserve">(1) either: </w:t>
      </w:r>
    </w:p>
    <w:p>
      <w:pPr>
        <w:pStyle w:val="TextBody"/>
        <w:bidi w:val="0"/>
        <w:spacing w:before="120" w:after="0"/>
        <w:jc w:val="left"/>
        <w:rPr>
          <w:rFonts w:ascii="Times New Roman" w:hAnsi="Times New Roman"/>
          <w:sz w:val="20"/>
        </w:rPr>
      </w:pPr>
      <w:r>
        <w:rPr>
          <w:rFonts w:ascii="Times New Roman" w:hAnsi="Times New Roman"/>
          <w:sz w:val="20"/>
        </w:rPr>
        <w:t xml:space="preserve">(A) all of the Notes theretofore authenticated and delivered (except lost, stolen or destroyed Notes which have been replaced or paid and Notes for whose payment money has theretofore been deposited in trust by the Company and thereafter repaid to the Company) have been delivered to the Trustee for cancellation,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all Notes not theretofore delivered to the Trustee for cancellation have become due and payable pursuant to the sending of an optional redemption notice or otherwise or will become due and payable within one year, and the Company has irrevocably deposited or caused to be deposited with the Trustee funds in an amount sufficient to pay and discharge the entire Indebtedness on the Notes not theretofore delivered to the trustee for cancellation, for principal of, premium, if any, and interest on the Notes to, but excluding, the date of deposit together with irrevocable instructions from the Company directing the Trustee to apply such funds to the payment thereof at maturity or redemption, as the case may be; and </w:t>
      </w:r>
    </w:p>
    <w:p>
      <w:pPr>
        <w:pStyle w:val="TextBody"/>
        <w:bidi w:val="0"/>
        <w:spacing w:before="120" w:after="0"/>
        <w:jc w:val="left"/>
        <w:rPr>
          <w:rFonts w:ascii="Times New Roman" w:hAnsi="Times New Roman"/>
          <w:sz w:val="20"/>
        </w:rPr>
      </w:pPr>
      <w:r>
        <w:rPr>
          <w:rFonts w:ascii="Times New Roman" w:hAnsi="Times New Roman"/>
          <w:sz w:val="20"/>
        </w:rPr>
        <w:t xml:space="preserve">(2) the Company has paid all other sums payable under this Indenture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next sentence and notwithstanding the foregoing paragraph, the Company’s obligations in Sections 2.05, 2.06, 2.07, 4.01, 4.02, 8.04 and 12.02 of this Supplemental Indenture and Sections 306 and 606 of the Base Indenture shall survive until the Notes are no longer outstanding pursuant to the last paragraph of Section 2.07. After the Notes are no longer outstanding, the Company’s obligations in Sections 8.04 and 12.02 of this Supplemental Indenture and Section 606 of the Base Indenture shall survive such satisfaction and discharge. </w:t>
      </w:r>
    </w:p>
    <w:p>
      <w:pPr>
        <w:pStyle w:val="TextBody"/>
        <w:bidi w:val="0"/>
        <w:spacing w:before="240" w:after="0"/>
        <w:jc w:val="left"/>
        <w:rPr>
          <w:rFonts w:ascii="Times New Roman" w:hAnsi="Times New Roman"/>
          <w:sz w:val="20"/>
        </w:rPr>
      </w:pPr>
      <w:r>
        <w:rPr>
          <w:rFonts w:ascii="Times New Roman" w:hAnsi="Times New Roman"/>
          <w:sz w:val="20"/>
        </w:rPr>
        <w:t xml:space="preserve">(b) After such delivery or irrevocable deposit, the Trustee, upon delivery of an Officers’ Certificate and an Opinion of Counsel stating that all conditions precedent under this Indenture relating to the satisfaction and discharge of this Indenture have been complied with, shall acknowledge in writing the discharge of the Company’s obligations under the Notes and this Indenture except for those surviving obligations specified above. </w:t>
      </w:r>
    </w:p>
    <w:p>
      <w:pPr>
        <w:pStyle w:val="TextBody"/>
        <w:bidi w:val="0"/>
        <w:spacing w:before="240" w:after="0"/>
        <w:jc w:val="left"/>
        <w:rPr>
          <w:rFonts w:ascii="Times New Roman" w:hAnsi="Times New Roman"/>
          <w:sz w:val="20"/>
        </w:rPr>
      </w:pPr>
      <w:r>
        <w:rPr>
          <w:rFonts w:ascii="Times New Roman" w:hAnsi="Times New Roman"/>
          <w:sz w:val="20"/>
        </w:rPr>
        <w:t xml:space="preserve">Section 12.02 </w:t>
      </w:r>
      <w:r>
        <w:rPr>
          <w:rFonts w:ascii="Times New Roman" w:hAnsi="Times New Roman"/>
          <w:sz w:val="20"/>
          <w:u w:val="single"/>
        </w:rPr>
        <w:t>Application of Trust Money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Section 8.04 hereof, all money deposited with the Trustee pursuant to Section 12.01 hereof shall be held in trust and applied by it, in accordance with the provisions of the Notes and this Indenture, to the payment, either directly or through any Paying Agent (including the Company acting as its own Paying Agent) as the Trustee may determine, to the Persons entitled thereto, of the principal (and premium, if any) and interest for whose payment such money has been deposited with the Trustee; but such money need not be segregated from other funds except to the extent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Trustee or Paying Agent is unable to apply any money or U.S. Government Obligations in accordance with Section 12.01 hereof by reason of any legal proceeding or by reason of any order or judgment of any court or governmental authority enjoining, restraining or otherwise prohibiting such application, the Company’s obligations under this Indenture and the Notes shall be revived and reinstated as though no deposit had occurred pursuant to Section 12.01 hereof; </w:t>
      </w:r>
      <w:r>
        <w:rPr>
          <w:rFonts w:ascii="Times New Roman" w:hAnsi="Times New Roman"/>
          <w:i/>
          <w:sz w:val="20"/>
        </w:rPr>
        <w:t xml:space="preserve">provided </w:t>
      </w:r>
      <w:r>
        <w:rPr>
          <w:rFonts w:ascii="Times New Roman" w:hAnsi="Times New Roman"/>
          <w:sz w:val="20"/>
        </w:rPr>
        <w:t xml:space="preserve">that if the Company has made any payment of principal of, premium, if any, or interest on, any Notes because of the reinstatement of its obligations, the Company shall be subrogated to the rights of the Holders of such Notes to receive such payment from the money or U.S. Government Obligations held by the Trustee or Paying Agent. </w:t>
      </w:r>
    </w:p>
    <w:p>
      <w:pPr>
        <w:pStyle w:val="TextBody"/>
        <w:bidi w:val="0"/>
        <w:spacing w:before="480" w:after="0"/>
        <w:jc w:val="center"/>
        <w:rPr>
          <w:rFonts w:ascii="Times New Roman" w:hAnsi="Times New Roman"/>
          <w:sz w:val="20"/>
        </w:rPr>
      </w:pPr>
      <w:r>
        <w:rPr>
          <w:rFonts w:ascii="Times New Roman" w:hAnsi="Times New Roman"/>
          <w:sz w:val="20"/>
        </w:rPr>
        <w:t xml:space="preserve">ARTICLE 13 </w:t>
      </w:r>
    </w:p>
    <w:p>
      <w:pPr>
        <w:pStyle w:val="TextBody"/>
        <w:bidi w:val="0"/>
        <w:spacing w:before="0" w:after="0"/>
        <w:jc w:val="center"/>
        <w:rPr>
          <w:rFonts w:ascii="Times New Roman" w:hAnsi="Times New Roman"/>
          <w:sz w:val="20"/>
        </w:rPr>
      </w:pPr>
      <w:r>
        <w:rPr>
          <w:rFonts w:ascii="Times New Roman" w:hAnsi="Times New Roman"/>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13.01 </w:t>
      </w:r>
      <w:r>
        <w:rPr>
          <w:rFonts w:ascii="Times New Roman" w:hAnsi="Times New Roman"/>
          <w:sz w:val="20"/>
          <w:u w:val="single"/>
        </w:rPr>
        <w:t>Trust Indenture Act Controls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If any provision of this Indenture limits, qualifies or conflicts with the duties imposed by, or with another provision (an “</w:t>
      </w:r>
      <w:r>
        <w:rPr>
          <w:rFonts w:ascii="Times New Roman" w:hAnsi="Times New Roman"/>
          <w:sz w:val="20"/>
          <w:u w:val="single"/>
        </w:rPr>
        <w:t>incorporated</w:t>
      </w:r>
      <w:r>
        <w:rPr>
          <w:rFonts w:ascii="Times New Roman" w:hAnsi="Times New Roman"/>
          <w:sz w:val="20"/>
        </w:rPr>
        <w:t xml:space="preserve"> </w:t>
      </w:r>
      <w:r>
        <w:rPr>
          <w:rFonts w:ascii="Times New Roman" w:hAnsi="Times New Roman"/>
          <w:sz w:val="20"/>
          <w:u w:val="single"/>
        </w:rPr>
        <w:t>provision</w:t>
      </w:r>
      <w:r>
        <w:rPr>
          <w:rFonts w:ascii="Times New Roman" w:hAnsi="Times New Roman"/>
          <w:sz w:val="20"/>
        </w:rPr>
        <w:t xml:space="preserve">”) included in this Indenture by operation of, Sections 310 to 318 of the TIA, inclusive, such imposed duties or incorporated provision shall control. </w:t>
      </w:r>
    </w:p>
    <w:p>
      <w:pPr>
        <w:pStyle w:val="TextBody"/>
        <w:bidi w:val="0"/>
        <w:spacing w:before="240" w:after="0"/>
        <w:jc w:val="left"/>
        <w:rPr>
          <w:rFonts w:ascii="Times New Roman" w:hAnsi="Times New Roman"/>
          <w:sz w:val="20"/>
        </w:rPr>
      </w:pPr>
      <w:r>
        <w:rPr>
          <w:rFonts w:ascii="Times New Roman" w:hAnsi="Times New Roman"/>
          <w:sz w:val="20"/>
        </w:rPr>
        <w:t xml:space="preserve">Section 13.02 </w:t>
      </w:r>
      <w:r>
        <w:rPr>
          <w:rFonts w:ascii="Times New Roman" w:hAnsi="Times New Roman"/>
          <w:sz w:val="20"/>
          <w:u w:val="single"/>
        </w:rPr>
        <w:t>Notices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notice or communication by the Company or the Trustee to the others is duly given if in writing and delivered in Person or by first class mail (registered or certified, return receipt requested), electronic mail, facsimile transmission or overnight air courier guaranteeing next day delivery, to the others’ address: </w:t>
      </w:r>
    </w:p>
    <w:p>
      <w:pPr>
        <w:pStyle w:val="TextBody"/>
        <w:bidi w:val="0"/>
        <w:spacing w:before="12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MasTec, Inc. </w:t>
      </w:r>
    </w:p>
    <w:p>
      <w:pPr>
        <w:pStyle w:val="TextBody"/>
        <w:bidi w:val="0"/>
        <w:spacing w:before="0" w:after="0"/>
        <w:jc w:val="left"/>
        <w:rPr>
          <w:rFonts w:ascii="Times New Roman" w:hAnsi="Times New Roman"/>
          <w:sz w:val="20"/>
        </w:rPr>
      </w:pPr>
      <w:r>
        <w:rPr>
          <w:rFonts w:ascii="Times New Roman" w:hAnsi="Times New Roman"/>
          <w:sz w:val="20"/>
        </w:rPr>
        <w:t xml:space="preserve">800 S. Douglas Road, 12th Floor </w:t>
      </w:r>
    </w:p>
    <w:p>
      <w:pPr>
        <w:pStyle w:val="TextBody"/>
        <w:bidi w:val="0"/>
        <w:spacing w:before="0" w:after="0"/>
        <w:jc w:val="left"/>
        <w:rPr>
          <w:rFonts w:ascii="Times New Roman" w:hAnsi="Times New Roman"/>
          <w:sz w:val="20"/>
        </w:rPr>
      </w:pPr>
      <w:r>
        <w:rPr>
          <w:rFonts w:ascii="Times New Roman" w:hAnsi="Times New Roman"/>
          <w:sz w:val="20"/>
        </w:rPr>
        <w:t xml:space="preserve">Coral Gables, Florida 33134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albert.cardenas@mastec.com</w:t>
      </w:r>
      <w:r>
        <w:rPr>
          <w:rFonts w:ascii="Times New Roman" w:hAnsi="Times New Roman"/>
          <w:sz w:val="20"/>
        </w:rPr>
        <w:t xml:space="preserve"> and </w:t>
      </w:r>
      <w:r>
        <w:rPr>
          <w:rFonts w:ascii="Times New Roman" w:hAnsi="Times New Roman"/>
          <w:sz w:val="20"/>
          <w:u w:val="single"/>
        </w:rPr>
        <w:t>legalnotice@mastec.com</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Facsimile No.: (305) 406-1907 </w:t>
      </w:r>
    </w:p>
    <w:p>
      <w:pPr>
        <w:pStyle w:val="TextBody"/>
        <w:bidi w:val="0"/>
        <w:spacing w:before="0" w:after="0"/>
        <w:jc w:val="left"/>
        <w:rPr>
          <w:rFonts w:ascii="Times New Roman" w:hAnsi="Times New Roman"/>
          <w:sz w:val="20"/>
        </w:rPr>
      </w:pPr>
      <w:r>
        <w:rPr>
          <w:rFonts w:ascii="Times New Roman" w:hAnsi="Times New Roman"/>
          <w:sz w:val="20"/>
        </w:rPr>
        <w:t xml:space="preserve">Attention: Albert de Cardenas </w:t>
      </w:r>
    </w:p>
    <w:p>
      <w:pPr>
        <w:pStyle w:val="TextBody"/>
        <w:bidi w:val="0"/>
        <w:spacing w:before="240" w:after="0"/>
        <w:jc w:val="left"/>
        <w:rPr>
          <w:rFonts w:ascii="Times New Roman" w:hAnsi="Times New Roman"/>
          <w:sz w:val="20"/>
        </w:rPr>
      </w:pPr>
      <w:r>
        <w:rPr>
          <w:rFonts w:ascii="Times New Roman" w:hAnsi="Times New Roman"/>
          <w:sz w:val="20"/>
        </w:rPr>
        <w:t xml:space="preserve">With copies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Fried, Frank, Harris, Shriver &amp; Jacobson LLP </w:t>
      </w:r>
    </w:p>
    <w:p>
      <w:pPr>
        <w:pStyle w:val="TextBody"/>
        <w:bidi w:val="0"/>
        <w:spacing w:before="0" w:after="0"/>
        <w:jc w:val="left"/>
        <w:rPr>
          <w:rFonts w:ascii="Times New Roman" w:hAnsi="Times New Roman"/>
          <w:sz w:val="20"/>
        </w:rPr>
      </w:pPr>
      <w:r>
        <w:rPr>
          <w:rFonts w:ascii="Times New Roman" w:hAnsi="Times New Roman"/>
          <w:sz w:val="20"/>
        </w:rPr>
        <w:t xml:space="preserve">One New York Plaza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10004 </w:t>
      </w:r>
    </w:p>
    <w:p>
      <w:pPr>
        <w:pStyle w:val="TextBody"/>
        <w:bidi w:val="0"/>
        <w:spacing w:before="0" w:after="0"/>
        <w:jc w:val="left"/>
        <w:rPr>
          <w:rFonts w:ascii="Times New Roman" w:hAnsi="Times New Roman"/>
          <w:sz w:val="20"/>
        </w:rPr>
      </w:pPr>
      <w:r>
        <w:rPr>
          <w:rFonts w:ascii="Times New Roman" w:hAnsi="Times New Roman"/>
          <w:sz w:val="20"/>
        </w:rPr>
        <w:t xml:space="preserve">E-mail: joshua.wechsler@friedfrank.com and ezra.schneck@friedfrank.com </w:t>
      </w:r>
    </w:p>
    <w:p>
      <w:pPr>
        <w:pStyle w:val="TextBody"/>
        <w:bidi w:val="0"/>
        <w:spacing w:before="0" w:after="0"/>
        <w:jc w:val="left"/>
        <w:rPr>
          <w:rFonts w:ascii="Times New Roman" w:hAnsi="Times New Roman"/>
          <w:sz w:val="20"/>
        </w:rPr>
      </w:pPr>
      <w:r>
        <w:rPr>
          <w:rFonts w:ascii="Times New Roman" w:hAnsi="Times New Roman"/>
          <w:sz w:val="20"/>
        </w:rPr>
        <w:t xml:space="preserve">Facsimile: (212) 859-4000 </w:t>
      </w:r>
    </w:p>
    <w:p>
      <w:pPr>
        <w:pStyle w:val="TextBody"/>
        <w:bidi w:val="0"/>
        <w:spacing w:before="0" w:after="0"/>
        <w:jc w:val="left"/>
        <w:rPr>
          <w:rFonts w:ascii="Times New Roman" w:hAnsi="Times New Roman"/>
          <w:sz w:val="20"/>
        </w:rPr>
      </w:pPr>
      <w:r>
        <w:rPr>
          <w:rFonts w:ascii="Times New Roman" w:hAnsi="Times New Roman"/>
          <w:sz w:val="20"/>
        </w:rPr>
        <w:t xml:space="preserve">Attention: Joshua Wechsler and Ezra Schneck </w:t>
      </w:r>
    </w:p>
    <w:p>
      <w:pPr>
        <w:pStyle w:val="TextBody"/>
        <w:bidi w:val="0"/>
        <w:spacing w:before="120" w:after="0"/>
        <w:jc w:val="left"/>
        <w:rPr>
          <w:rFonts w:ascii="Times New Roman" w:hAnsi="Times New Roman"/>
          <w:sz w:val="20"/>
        </w:rPr>
      </w:pPr>
      <w:r>
        <w:rPr>
          <w:rFonts w:ascii="Times New Roman" w:hAnsi="Times New Roman"/>
          <w:sz w:val="20"/>
        </w:rPr>
        <w:t xml:space="preserve">Holland &amp; Knight LLP </w:t>
      </w:r>
    </w:p>
    <w:p>
      <w:pPr>
        <w:pStyle w:val="TextBody"/>
        <w:bidi w:val="0"/>
        <w:spacing w:before="0" w:after="0"/>
        <w:jc w:val="left"/>
        <w:rPr>
          <w:rFonts w:ascii="Times New Roman" w:hAnsi="Times New Roman"/>
          <w:sz w:val="20"/>
        </w:rPr>
      </w:pPr>
      <w:r>
        <w:rPr>
          <w:rFonts w:ascii="Times New Roman" w:hAnsi="Times New Roman"/>
          <w:sz w:val="20"/>
        </w:rPr>
        <w:t xml:space="preserve">701 Brickell Avenue, Suite 3300 </w:t>
      </w:r>
    </w:p>
    <w:p>
      <w:pPr>
        <w:pStyle w:val="TextBody"/>
        <w:bidi w:val="0"/>
        <w:spacing w:before="0" w:after="0"/>
        <w:jc w:val="left"/>
        <w:rPr>
          <w:rFonts w:ascii="Times New Roman" w:hAnsi="Times New Roman"/>
          <w:sz w:val="20"/>
        </w:rPr>
      </w:pPr>
      <w:r>
        <w:rPr>
          <w:rFonts w:ascii="Times New Roman" w:hAnsi="Times New Roman"/>
          <w:sz w:val="20"/>
        </w:rPr>
        <w:t xml:space="preserve">Miami, Florida 33131 </w:t>
      </w:r>
    </w:p>
    <w:p>
      <w:pPr>
        <w:pStyle w:val="TextBody"/>
        <w:bidi w:val="0"/>
        <w:spacing w:before="0" w:after="0"/>
        <w:jc w:val="left"/>
        <w:rPr>
          <w:rFonts w:ascii="Times New Roman" w:hAnsi="Times New Roman"/>
          <w:sz w:val="20"/>
        </w:rPr>
      </w:pPr>
      <w:r>
        <w:rPr>
          <w:rFonts w:ascii="Times New Roman" w:hAnsi="Times New Roman"/>
          <w:sz w:val="20"/>
        </w:rPr>
        <w:t xml:space="preserve">E-mail: ira.rosner@hklaw.com </w:t>
      </w:r>
    </w:p>
    <w:p>
      <w:pPr>
        <w:pStyle w:val="TextBody"/>
        <w:bidi w:val="0"/>
        <w:spacing w:before="0" w:after="0"/>
        <w:jc w:val="left"/>
        <w:rPr>
          <w:rFonts w:ascii="Times New Roman" w:hAnsi="Times New Roman"/>
          <w:sz w:val="20"/>
        </w:rPr>
      </w:pPr>
      <w:r>
        <w:rPr>
          <w:rFonts w:ascii="Times New Roman" w:hAnsi="Times New Roman"/>
          <w:sz w:val="20"/>
        </w:rPr>
        <w:t xml:space="preserve">Facsimile: (305) 789-7799 </w:t>
      </w:r>
    </w:p>
    <w:p>
      <w:pPr>
        <w:pStyle w:val="TextBody"/>
        <w:bidi w:val="0"/>
        <w:spacing w:before="0" w:after="0"/>
        <w:jc w:val="left"/>
        <w:rPr>
          <w:rFonts w:ascii="Times New Roman" w:hAnsi="Times New Roman"/>
          <w:sz w:val="20"/>
        </w:rPr>
      </w:pPr>
      <w:r>
        <w:rPr>
          <w:rFonts w:ascii="Times New Roman" w:hAnsi="Times New Roman"/>
          <w:sz w:val="20"/>
        </w:rPr>
        <w:t xml:space="preserve">Attention: Ira N. Rosner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to the Trustee: </w:t>
      </w:r>
    </w:p>
    <w:p>
      <w:pPr>
        <w:pStyle w:val="TextBody"/>
        <w:bidi w:val="0"/>
        <w:spacing w:before="120" w:after="0"/>
        <w:jc w:val="left"/>
        <w:rPr>
          <w:rFonts w:ascii="Times New Roman" w:hAnsi="Times New Roman"/>
          <w:sz w:val="20"/>
        </w:rPr>
      </w:pPr>
      <w:r>
        <w:rPr>
          <w:rFonts w:ascii="Times New Roman" w:hAnsi="Times New Roman"/>
          <w:sz w:val="20"/>
        </w:rPr>
        <w:t xml:space="preserve">U.S. Bank Trust Company,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60 Livingston Avenue </w:t>
      </w:r>
    </w:p>
    <w:p>
      <w:pPr>
        <w:pStyle w:val="TextBody"/>
        <w:bidi w:val="0"/>
        <w:spacing w:before="0" w:after="0"/>
        <w:jc w:val="left"/>
        <w:rPr>
          <w:rFonts w:ascii="Times New Roman" w:hAnsi="Times New Roman"/>
          <w:sz w:val="20"/>
        </w:rPr>
      </w:pPr>
      <w:r>
        <w:rPr>
          <w:rFonts w:ascii="Times New Roman" w:hAnsi="Times New Roman"/>
          <w:sz w:val="20"/>
        </w:rPr>
        <w:t xml:space="preserve">EP-MN-WS3C </w:t>
      </w:r>
    </w:p>
    <w:p>
      <w:pPr>
        <w:pStyle w:val="TextBody"/>
        <w:bidi w:val="0"/>
        <w:spacing w:before="0" w:after="0"/>
        <w:jc w:val="left"/>
        <w:rPr>
          <w:rFonts w:ascii="Times New Roman" w:hAnsi="Times New Roman"/>
          <w:sz w:val="20"/>
        </w:rPr>
      </w:pPr>
      <w:r>
        <w:rPr>
          <w:rFonts w:ascii="Times New Roman" w:hAnsi="Times New Roman"/>
          <w:sz w:val="20"/>
        </w:rPr>
        <w:t xml:space="preserve">St. Paul, Minnesota 55107 </w:t>
      </w:r>
    </w:p>
    <w:p>
      <w:pPr>
        <w:pStyle w:val="TextBody"/>
        <w:bidi w:val="0"/>
        <w:spacing w:before="0" w:after="0"/>
        <w:jc w:val="left"/>
        <w:rPr>
          <w:rFonts w:ascii="Times New Roman" w:hAnsi="Times New Roman"/>
          <w:sz w:val="20"/>
        </w:rPr>
      </w:pPr>
      <w:r>
        <w:rPr>
          <w:rFonts w:ascii="Times New Roman" w:hAnsi="Times New Roman"/>
          <w:sz w:val="20"/>
        </w:rPr>
        <w:t xml:space="preserve">Facsimile No.: (651) 466-7430 </w:t>
      </w:r>
    </w:p>
    <w:p>
      <w:pPr>
        <w:pStyle w:val="TextBody"/>
        <w:bidi w:val="0"/>
        <w:spacing w:before="0" w:after="0"/>
        <w:jc w:val="left"/>
        <w:rPr>
          <w:rFonts w:ascii="Times New Roman" w:hAnsi="Times New Roman"/>
          <w:sz w:val="20"/>
        </w:rPr>
      </w:pPr>
      <w:r>
        <w:rPr>
          <w:rFonts w:ascii="Times New Roman" w:hAnsi="Times New Roman"/>
          <w:sz w:val="20"/>
        </w:rPr>
        <w:t xml:space="preserve">Attention: Corporate Trust Administrator for MasTec Inc. </w:t>
      </w:r>
    </w:p>
    <w:p>
      <w:pPr>
        <w:pStyle w:val="TextBody"/>
        <w:bidi w:val="0"/>
        <w:spacing w:before="240" w:after="0"/>
        <w:jc w:val="left"/>
        <w:rPr>
          <w:rFonts w:ascii="Times New Roman" w:hAnsi="Times New Roman"/>
          <w:sz w:val="20"/>
        </w:rPr>
      </w:pPr>
      <w:r>
        <w:rPr>
          <w:rFonts w:ascii="Times New Roman" w:hAnsi="Times New Roman"/>
          <w:sz w:val="20"/>
        </w:rPr>
        <w:t xml:space="preserve">The Company or the Trustee, by notice to the others, may designate additional or different addresses for subsequent notices or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All notices and communications (other than those sent to Holders) will be deemed to have been duly given: at the time delivered by hand, if personally delivered; five Business Days after being deposited in the mail, postage prepaid, if mailed; when receipt acknowledged, if transmitted by facsimile or electronic mail; and the next Business Day after timely delivery to the courier, if sent by overnight air courier guaranteeing next day delivery. </w:t>
      </w:r>
    </w:p>
    <w:p>
      <w:pPr>
        <w:pStyle w:val="TextBody"/>
        <w:bidi w:val="0"/>
        <w:spacing w:before="240" w:after="0"/>
        <w:jc w:val="left"/>
        <w:rPr>
          <w:rFonts w:ascii="Times New Roman" w:hAnsi="Times New Roman"/>
          <w:sz w:val="20"/>
        </w:rPr>
      </w:pPr>
      <w:r>
        <w:rPr>
          <w:rFonts w:ascii="Times New Roman" w:hAnsi="Times New Roman"/>
          <w:sz w:val="20"/>
        </w:rPr>
        <w:t xml:space="preserve">Any notice or communication to a Holder will be mailed by first class mail, certified or registered, return receipt requested, or by overnight air courier guaranteeing next day delivery to its address shown on the register kept by the Registrar. Any notice or communication will also be so mailed to any Person described in TIA § 313(c), to the extent required by the TIA. Failure to mail a notice or communication to a Holder or any defect in it will not affect its sufficiency with respect to other Holders. </w:t>
      </w:r>
    </w:p>
    <w:p>
      <w:pPr>
        <w:pStyle w:val="TextBody"/>
        <w:bidi w:val="0"/>
        <w:spacing w:before="240" w:after="0"/>
        <w:jc w:val="left"/>
        <w:rPr>
          <w:rFonts w:ascii="Times New Roman" w:hAnsi="Times New Roman"/>
          <w:sz w:val="20"/>
        </w:rPr>
      </w:pPr>
      <w:r>
        <w:rPr>
          <w:rFonts w:ascii="Times New Roman" w:hAnsi="Times New Roman"/>
          <w:sz w:val="20"/>
        </w:rPr>
        <w:t xml:space="preserve">If a notice or communication is mailed in the manner provided above within the time prescribed, it is duly given, whether or not the addressee receives it.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mails a notice or communication to Holders, it will mail a copy to the Trustee and each Agent at the same time. </w:t>
      </w:r>
    </w:p>
    <w:p>
      <w:pPr>
        <w:pStyle w:val="TextBody"/>
        <w:bidi w:val="0"/>
        <w:spacing w:before="240" w:after="0"/>
        <w:jc w:val="left"/>
        <w:rPr>
          <w:rFonts w:ascii="Times New Roman" w:hAnsi="Times New Roman"/>
          <w:sz w:val="20"/>
        </w:rPr>
      </w:pPr>
      <w:r>
        <w:rPr>
          <w:rFonts w:ascii="Times New Roman" w:hAnsi="Times New Roman"/>
          <w:sz w:val="20"/>
        </w:rPr>
        <w:t xml:space="preserve">Section 13.03 </w:t>
      </w:r>
      <w:r>
        <w:rPr>
          <w:rFonts w:ascii="Times New Roman" w:hAnsi="Times New Roman"/>
          <w:sz w:val="20"/>
          <w:u w:val="single"/>
        </w:rPr>
        <w:t>Communication by Holders of Notes with Other Holders of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Holders may communicate pursuant to TIA § 312(b) with other Holders with respect to their rights under this Indenture or the Notes. </w:t>
      </w:r>
    </w:p>
    <w:p>
      <w:pPr>
        <w:pStyle w:val="TextBody"/>
        <w:bidi w:val="0"/>
        <w:spacing w:before="240" w:after="0"/>
        <w:jc w:val="left"/>
        <w:rPr>
          <w:rFonts w:ascii="Times New Roman" w:hAnsi="Times New Roman"/>
          <w:sz w:val="20"/>
        </w:rPr>
      </w:pPr>
      <w:r>
        <w:rPr>
          <w:rFonts w:ascii="Times New Roman" w:hAnsi="Times New Roman"/>
          <w:sz w:val="20"/>
        </w:rPr>
        <w:t xml:space="preserve">The Company, the Trustee, the Registrar and anyone else shall have the protection of TIA § 312(c). </w:t>
      </w:r>
    </w:p>
    <w:p>
      <w:pPr>
        <w:pStyle w:val="TextBody"/>
        <w:bidi w:val="0"/>
        <w:spacing w:before="240" w:after="0"/>
        <w:jc w:val="left"/>
        <w:rPr>
          <w:rFonts w:ascii="Times New Roman" w:hAnsi="Times New Roman"/>
          <w:sz w:val="20"/>
        </w:rPr>
      </w:pPr>
      <w:r>
        <w:rPr>
          <w:rFonts w:ascii="Times New Roman" w:hAnsi="Times New Roman"/>
          <w:sz w:val="20"/>
        </w:rPr>
        <w:t xml:space="preserve">Section 13.04 </w:t>
      </w:r>
      <w:r>
        <w:rPr>
          <w:rFonts w:ascii="Times New Roman" w:hAnsi="Times New Roman"/>
          <w:sz w:val="20"/>
          <w:u w:val="single"/>
        </w:rPr>
        <w:t>Certificate and Opinion as to Conditions Precedent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any request or application by the Company to the Trustee to take or refrain from taking any action under this Indenture (other than in connection with the Authentication Order, dated the date hereof, and delivered to the Trustee in connection with the issuance of the Initial Notes), the Company shall, if requested by the Trustee, furnish to the Trustee: </w:t>
      </w:r>
    </w:p>
    <w:p>
      <w:pPr>
        <w:pStyle w:val="TextBody"/>
        <w:bidi w:val="0"/>
        <w:spacing w:before="120" w:after="0"/>
        <w:jc w:val="left"/>
        <w:rPr>
          <w:rFonts w:ascii="Times New Roman" w:hAnsi="Times New Roman"/>
          <w:sz w:val="20"/>
        </w:rPr>
      </w:pPr>
      <w:r>
        <w:rPr>
          <w:rFonts w:ascii="Times New Roman" w:hAnsi="Times New Roman"/>
          <w:sz w:val="20"/>
        </w:rPr>
        <w:t xml:space="preserve">(1) an Officers’ Certificate in form and substance reasonably satisfactory to the Trustee (which must include the statements set forth in Section 13.05 hereof) stating that, in the opinion of the signers, all conditions precedent and covenants, if any, provided for in this Indenture relating to the proposed action have been satisfied;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an Opinion of Counsel in form and substance reasonably satisfactory to the Trustee (which must include the statements set forth in Section 13.05 hereof) stating that, in the opinion of such counsel, all such conditions precedent and covenants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Section 13.05 </w:t>
      </w:r>
      <w:r>
        <w:rPr>
          <w:rFonts w:ascii="Times New Roman" w:hAnsi="Times New Roman"/>
          <w:sz w:val="20"/>
          <w:u w:val="single"/>
        </w:rPr>
        <w:t>Statements Required in Certificate or Opinion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certificate or opinion with respect to compliance with a condition or covenant provided for in this Indenture (other than a certificate provided pursuant to TIA § 314(a)(4)) must comply with the provisions of TIA § 314(e) and must include: </w:t>
      </w:r>
    </w:p>
    <w:p>
      <w:pPr>
        <w:pStyle w:val="TextBody"/>
        <w:bidi w:val="0"/>
        <w:spacing w:before="120" w:after="0"/>
        <w:jc w:val="left"/>
        <w:rPr>
          <w:rFonts w:ascii="Times New Roman" w:hAnsi="Times New Roman"/>
          <w:sz w:val="20"/>
        </w:rPr>
      </w:pPr>
      <w:r>
        <w:rPr>
          <w:rFonts w:ascii="Times New Roman" w:hAnsi="Times New Roman"/>
          <w:sz w:val="20"/>
        </w:rPr>
        <w:t xml:space="preserve">(1) a statement that the Person making such certificate or opinion has read such covenant or condition; </w:t>
      </w:r>
    </w:p>
    <w:p>
      <w:pPr>
        <w:pStyle w:val="TextBody"/>
        <w:bidi w:val="0"/>
        <w:spacing w:before="120" w:after="0"/>
        <w:jc w:val="left"/>
        <w:rPr>
          <w:rFonts w:ascii="Times New Roman" w:hAnsi="Times New Roman"/>
          <w:sz w:val="20"/>
        </w:rPr>
      </w:pPr>
      <w:r>
        <w:rPr>
          <w:rFonts w:ascii="Times New Roman" w:hAnsi="Times New Roman"/>
          <w:sz w:val="20"/>
        </w:rPr>
        <w:t xml:space="preserve">(2) a brief statement as to the nature and scope of the examination or investigation upon which the statements or opinions contained in such certificate or opinion are based; </w:t>
      </w:r>
    </w:p>
    <w:p>
      <w:pPr>
        <w:pStyle w:val="TextBody"/>
        <w:bidi w:val="0"/>
        <w:spacing w:before="120" w:after="0"/>
        <w:jc w:val="left"/>
        <w:rPr>
          <w:rFonts w:ascii="Times New Roman" w:hAnsi="Times New Roman"/>
          <w:sz w:val="20"/>
        </w:rPr>
      </w:pPr>
      <w:r>
        <w:rPr>
          <w:rFonts w:ascii="Times New Roman" w:hAnsi="Times New Roman"/>
          <w:sz w:val="20"/>
        </w:rPr>
        <w:t xml:space="preserve">(3) a statement that, in the opinion of such Person, he or she has made such examination or investigation as is necessary to enable him or her to express an informed opinion as to whether or not such covenant or condition has been satisfied; and </w:t>
      </w:r>
    </w:p>
    <w:p>
      <w:pPr>
        <w:pStyle w:val="TextBody"/>
        <w:bidi w:val="0"/>
        <w:spacing w:before="120" w:after="0"/>
        <w:jc w:val="left"/>
        <w:rPr>
          <w:rFonts w:ascii="Times New Roman" w:hAnsi="Times New Roman"/>
          <w:sz w:val="20"/>
        </w:rPr>
      </w:pPr>
      <w:r>
        <w:rPr>
          <w:rFonts w:ascii="Times New Roman" w:hAnsi="Times New Roman"/>
          <w:sz w:val="20"/>
        </w:rPr>
        <w:t xml:space="preserve">(4) a statement as to whether or not, in the opinion of such Person, such condition or covenant has been satisfied;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with respect to matters of fact, an Opinion of Counsel may rely on an Officers’ Certificate or certificates of public officials. </w:t>
      </w:r>
    </w:p>
    <w:p>
      <w:pPr>
        <w:pStyle w:val="TextBody"/>
        <w:bidi w:val="0"/>
        <w:spacing w:before="240" w:after="0"/>
        <w:jc w:val="left"/>
        <w:rPr>
          <w:rFonts w:ascii="Times New Roman" w:hAnsi="Times New Roman"/>
          <w:sz w:val="20"/>
        </w:rPr>
      </w:pPr>
      <w:r>
        <w:rPr>
          <w:rFonts w:ascii="Times New Roman" w:hAnsi="Times New Roman"/>
          <w:sz w:val="20"/>
        </w:rPr>
        <w:t xml:space="preserve">Section 13.06 </w:t>
      </w:r>
      <w:r>
        <w:rPr>
          <w:rFonts w:ascii="Times New Roman" w:hAnsi="Times New Roman"/>
          <w:sz w:val="20"/>
          <w:u w:val="single"/>
        </w:rPr>
        <w:t>Rules by Trustee and Agents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make reasonable rules for action by or at a meeting of Holders. The Registrar or Paying Agent may make reasonable rules and set reasonable requirements for its functions. </w:t>
      </w:r>
    </w:p>
    <w:p>
      <w:pPr>
        <w:pStyle w:val="TextBody"/>
        <w:bidi w:val="0"/>
        <w:spacing w:before="240" w:after="0"/>
        <w:jc w:val="left"/>
        <w:rPr>
          <w:rFonts w:ascii="Times New Roman" w:hAnsi="Times New Roman"/>
          <w:sz w:val="20"/>
        </w:rPr>
      </w:pPr>
      <w:r>
        <w:rPr>
          <w:rFonts w:ascii="Times New Roman" w:hAnsi="Times New Roman"/>
          <w:sz w:val="20"/>
        </w:rPr>
        <w:t xml:space="preserve">Section 13.07 </w:t>
      </w:r>
      <w:r>
        <w:rPr>
          <w:rFonts w:ascii="Times New Roman" w:hAnsi="Times New Roman"/>
          <w:sz w:val="20"/>
          <w:u w:val="single"/>
        </w:rPr>
        <w:t>No Personal Liability of Incorporators, Stockholders, Officers, Directors or Employees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recourse for the payment of the principal of, premium, if any, or interest on any of the Notes or for any claim based thereon or otherwise in respect thereof, and no recourse under or upon any obligation, covenant or agreement of the Company in this Indenture, or in the Notes or because of the creation of any Indebtedness represented thereby, shall be had against any incorporator, stockholder, officer (including, without limitation, any Officer), director, employee or controlling person of the Company or any Subsidiary or of any successor Person thereof. Each Holder, by accepting the Notes, waives and releases all such liability. The waiver and release are part of the consideration for the issuance of the Notes. The waiver may not be effective to waive liabilities under the federal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13.08 </w:t>
      </w:r>
      <w:r>
        <w:rPr>
          <w:rFonts w:ascii="Times New Roman" w:hAnsi="Times New Roman"/>
          <w:sz w:val="20"/>
          <w:u w:val="single"/>
        </w:rPr>
        <w:t>Governing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AND THE NOTES SHALL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Section 13.09 </w:t>
      </w:r>
      <w:r>
        <w:rPr>
          <w:rFonts w:ascii="Times New Roman" w:hAnsi="Times New Roman"/>
          <w:sz w:val="20"/>
          <w:u w:val="single"/>
        </w:rPr>
        <w:t>Waiver of Jury Trial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THE TRUSTEE HEREBY IRREVOCABLY WAIVE, TO THE FULLEST EXTENT PERMITTED BY APPLICABLE LAW, ANY AND ALL RIGHT TO TRIAL BY JURY IN ANY LEGAL PROCEEDING ARISING OUT OF OR RELATING TO THIS INDENTURE, THE NOTES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13.10 </w:t>
      </w:r>
      <w:r>
        <w:rPr>
          <w:rFonts w:ascii="Times New Roman" w:hAnsi="Times New Roman"/>
          <w:sz w:val="20"/>
          <w:u w:val="single"/>
        </w:rPr>
        <w:t>Jurisdiction and Service.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relation to any legal action or proceedings arising out of or in connection with this Indenture and the Notes, the Company hereby (i) irrevocably submits to the jurisdiction of the federal and state courts in the Borough of Manhattan in the City, County and State of New York, United States and (ii) consents that any such action or proceeding may be brought in such courts and waives, to the fullest extent permitted by law, any objection that it may now or hereafter have to the venue of any such action or proceeding in any such court or that such action or proceeding was brought in an inconvenient court and agree not to plead or claim the same. </w:t>
      </w:r>
    </w:p>
    <w:p>
      <w:pPr>
        <w:pStyle w:val="TextBody"/>
        <w:bidi w:val="0"/>
        <w:spacing w:before="240" w:after="0"/>
        <w:jc w:val="left"/>
        <w:rPr>
          <w:rFonts w:ascii="Times New Roman" w:hAnsi="Times New Roman"/>
          <w:sz w:val="20"/>
        </w:rPr>
      </w:pPr>
      <w:r>
        <w:rPr>
          <w:rFonts w:ascii="Times New Roman" w:hAnsi="Times New Roman"/>
          <w:sz w:val="20"/>
        </w:rPr>
        <w:t xml:space="preserve">Section 13.11 </w:t>
      </w:r>
      <w:r>
        <w:rPr>
          <w:rFonts w:ascii="Times New Roman" w:hAnsi="Times New Roman"/>
          <w:sz w:val="20"/>
          <w:u w:val="single"/>
        </w:rPr>
        <w:t>Successors.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agreements of the Company in this Indenture and the Notes shall bind its successors. All agreements of the Trustee and the Agents in this Indenture shall bind their respective successors. </w:t>
      </w:r>
    </w:p>
    <w:p>
      <w:pPr>
        <w:pStyle w:val="TextBody"/>
        <w:bidi w:val="0"/>
        <w:spacing w:before="240" w:after="0"/>
        <w:jc w:val="left"/>
        <w:rPr>
          <w:rFonts w:ascii="Times New Roman" w:hAnsi="Times New Roman"/>
          <w:sz w:val="20"/>
        </w:rPr>
      </w:pPr>
      <w:r>
        <w:rPr>
          <w:rFonts w:ascii="Times New Roman" w:hAnsi="Times New Roman"/>
          <w:sz w:val="20"/>
        </w:rPr>
        <w:t xml:space="preserve">Section 13.12 </w:t>
      </w:r>
      <w:r>
        <w:rPr>
          <w:rFonts w:ascii="Times New Roman" w:hAnsi="Times New Roman"/>
          <w:sz w:val="20"/>
          <w:u w:val="single"/>
        </w:rPr>
        <w:t>Multiple Originals.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parties may sign any number of copies of this Supplemental Indenture. Each signed copy shall be an original, but all of them together represent the same agreement. Delivery of an executed counterpart of a signature page to this Supplemental Indenture by telecopier, facsimile, electronic mail or other electronic transmission (i.e. a “pdf” or “tif”) shall be effective as delivery of a manually executed counterpart thereof. One signed copy is enough to prove this Supplemental Indenture. The words “execution,” “signed,” “signature,” “delivery” and words of like import in or relating to this Supplemental Indenture or any document to be signed in connection with this Indenture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 </w:t>
      </w:r>
    </w:p>
    <w:p>
      <w:pPr>
        <w:pStyle w:val="TextBody"/>
        <w:bidi w:val="0"/>
        <w:spacing w:before="240" w:after="0"/>
        <w:jc w:val="left"/>
        <w:rPr>
          <w:rFonts w:ascii="Times New Roman" w:hAnsi="Times New Roman"/>
          <w:sz w:val="20"/>
        </w:rPr>
      </w:pPr>
      <w:r>
        <w:rPr>
          <w:rFonts w:ascii="Times New Roman" w:hAnsi="Times New Roman"/>
          <w:sz w:val="20"/>
        </w:rPr>
        <w:t xml:space="preserve">Section 13.13 </w:t>
      </w:r>
      <w:r>
        <w:rPr>
          <w:rFonts w:ascii="Times New Roman" w:hAnsi="Times New Roman"/>
          <w:sz w:val="20"/>
          <w:u w:val="single"/>
        </w:rPr>
        <w:t>Table of Contents; Headings.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table of contents, cross-reference sheet and headings of the Articles and Sections of this Supplemental Indenture have been inserted for convenience of reference only, are not intended to be considered a part hereof and shall not modify or restrict any of the terms or provisions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13.14 </w:t>
      </w:r>
      <w:r>
        <w:rPr>
          <w:rFonts w:ascii="Times New Roman" w:hAnsi="Times New Roman"/>
          <w:sz w:val="20"/>
          <w:u w:val="single"/>
        </w:rPr>
        <w:t>Force Majeure.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no event shall the Trustee be responsible or liable for any failure or delay in the performance of its obligations hereunder arising out of or caused by, directly or indirectly, forces beyond its control, including, without limitation, strikes, work stoppages, epidemics, pandemics,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 </w:t>
      </w:r>
    </w:p>
    <w:p>
      <w:pPr>
        <w:pStyle w:val="TextBody"/>
        <w:bidi w:val="0"/>
        <w:spacing w:before="240" w:after="0"/>
        <w:jc w:val="left"/>
        <w:rPr>
          <w:rFonts w:ascii="Times New Roman" w:hAnsi="Times New Roman"/>
          <w:sz w:val="20"/>
        </w:rPr>
      </w:pPr>
      <w:r>
        <w:rPr>
          <w:rFonts w:ascii="Times New Roman" w:hAnsi="Times New Roman"/>
          <w:sz w:val="20"/>
        </w:rPr>
        <w:t xml:space="preserve">Section 13.15 </w:t>
      </w:r>
      <w:r>
        <w:rPr>
          <w:rFonts w:ascii="Times New Roman" w:hAnsi="Times New Roman"/>
          <w:sz w:val="20"/>
          <w:u w:val="single"/>
        </w:rPr>
        <w:t>Separability.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provision of this Indenture shall be considered separable and if for any reason any provision which is not essential to the effectuation of the basic purpose of this Indenture or the Notes shall be invalid, illegal or unenforceable, the validity, legality and enforceability of the remaining provisions shall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13.16 </w:t>
      </w:r>
      <w:r>
        <w:rPr>
          <w:rFonts w:ascii="Times New Roman" w:hAnsi="Times New Roman"/>
          <w:sz w:val="20"/>
          <w:u w:val="single"/>
        </w:rPr>
        <w:t>USA Patriot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parties hereto acknowledge that in accordance with Section 326 of the USA Patriot Act the Trustee, Responsible Officers and Agents, in order to help fight the funding of terrorism and money laundering, are required to obtain, verify, and record information that identifies each Person or legal entity that establishes a relationship or opens an account. The parties to this Indenture agree that they shall provide the Trustee, Responsible Officers and Agents with such information as they may request in order to satisfy the requirements of the USA Patriot Act. </w:t>
      </w:r>
    </w:p>
    <w:p>
      <w:pPr>
        <w:pStyle w:val="TextBody"/>
        <w:bidi w:val="0"/>
        <w:spacing w:before="240" w:after="0"/>
        <w:jc w:val="left"/>
        <w:rPr>
          <w:rFonts w:ascii="Times New Roman" w:hAnsi="Times New Roman"/>
          <w:sz w:val="20"/>
        </w:rPr>
      </w:pPr>
      <w:r>
        <w:rPr>
          <w:rFonts w:ascii="Times New Roman" w:hAnsi="Times New Roman"/>
          <w:sz w:val="20"/>
        </w:rPr>
        <w:t xml:space="preserve">Section 13.17 </w:t>
      </w:r>
      <w:r>
        <w:rPr>
          <w:rFonts w:ascii="Times New Roman" w:hAnsi="Times New Roman"/>
          <w:sz w:val="20"/>
          <w:u w:val="single"/>
        </w:rPr>
        <w:t>No Adverse Interpretation of Other Agreements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may not be used to interpret any other indenture, loan or debt agreement of the Company or its Subsidiaries or of any other Person. Any such indenture, loan or debt agreement may not be used to interpret this Indenture.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Signatures on following page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Dated as of August 17, 2026 </w:t>
      </w:r>
    </w:p>
    <w:p>
      <w:pPr>
        <w:pStyle w:val="TextBody"/>
        <w:bidi w:val="0"/>
        <w:spacing w:before="0" w:after="0"/>
        <w:jc w:val="left"/>
        <w:rPr/>
      </w:pPr>
      <w:r>
        <w:rPr/>
        <w:t> </w:t>
      </w:r>
    </w:p>
    <w:tbl>
      <w:tblPr>
        <w:tblW w:w="5980" w:type="dxa"/>
        <w:jc w:val="right"/>
        <w:tblInd w:w="0" w:type="dxa"/>
        <w:tblLayout w:type="fixed"/>
        <w:tblCellMar>
          <w:top w:w="0" w:type="dxa"/>
          <w:left w:w="0" w:type="dxa"/>
          <w:bottom w:w="0" w:type="dxa"/>
          <w:right w:w="0" w:type="dxa"/>
        </w:tblCellMar>
      </w:tblPr>
      <w:tblGrid>
        <w:gridCol w:w="305"/>
        <w:gridCol w:w="60"/>
        <w:gridCol w:w="5615"/>
      </w:tblGrid>
      <w:tr>
        <w:trPr/>
        <w:tc>
          <w:tcPr>
            <w:tcW w:w="3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615" w:type="dxa"/>
            <w:tcBorders/>
            <w:vAlign w:val="center"/>
          </w:tcPr>
          <w:p>
            <w:pPr>
              <w:pStyle w:val="TableContents"/>
              <w:bidi w:val="0"/>
              <w:spacing w:before="0" w:after="283"/>
              <w:jc w:val="left"/>
              <w:rPr>
                <w:sz w:val="4"/>
                <w:szCs w:val="4"/>
              </w:rPr>
            </w:pPr>
            <w:r>
              <w:rPr>
                <w:sz w:val="4"/>
                <w:szCs w:val="4"/>
              </w:rPr>
            </w:r>
          </w:p>
        </w:tc>
      </w:tr>
      <w:tr>
        <w:trPr/>
        <w:tc>
          <w:tcPr>
            <w:tcW w:w="5980" w:type="dxa"/>
            <w:gridSpan w:val="3"/>
            <w:tcBorders/>
          </w:tcPr>
          <w:p>
            <w:pPr>
              <w:pStyle w:val="TableContents"/>
              <w:bidi w:val="0"/>
              <w:spacing w:before="0" w:after="283"/>
              <w:jc w:val="left"/>
              <w:rPr/>
            </w:pPr>
            <w:r>
              <w:rPr/>
              <w:t>SIGNATURES</w:t>
            </w:r>
          </w:p>
        </w:tc>
      </w:tr>
      <w:tr>
        <w:trPr>
          <w:trHeight w:val="240" w:hRule="atLeast"/>
        </w:trPr>
        <w:tc>
          <w:tcPr>
            <w:tcW w:w="5980" w:type="dxa"/>
            <w:gridSpan w:val="3"/>
            <w:tcBorders/>
            <w:vAlign w:val="center"/>
          </w:tcPr>
          <w:p>
            <w:pPr>
              <w:pStyle w:val="TableContents"/>
              <w:bidi w:val="0"/>
              <w:spacing w:before="0" w:after="283"/>
              <w:jc w:val="left"/>
              <w:rPr>
                <w:sz w:val="4"/>
                <w:szCs w:val="4"/>
              </w:rPr>
            </w:pPr>
            <w:r>
              <w:rPr>
                <w:sz w:val="4"/>
                <w:szCs w:val="4"/>
              </w:rPr>
            </w:r>
          </w:p>
        </w:tc>
      </w:tr>
      <w:tr>
        <w:trPr/>
        <w:tc>
          <w:tcPr>
            <w:tcW w:w="5980" w:type="dxa"/>
            <w:gridSpan w:val="3"/>
            <w:tcBorders/>
          </w:tcPr>
          <w:p>
            <w:pPr>
              <w:pStyle w:val="TableContents"/>
              <w:bidi w:val="0"/>
              <w:spacing w:before="0" w:after="283"/>
              <w:jc w:val="left"/>
              <w:rPr>
                <w:b/>
              </w:rPr>
            </w:pPr>
            <w:r>
              <w:rPr>
                <w:b/>
              </w:rPr>
              <w:t>MASTEC, INC.</w:t>
            </w:r>
          </w:p>
        </w:tc>
      </w:tr>
      <w:tr>
        <w:trPr>
          <w:trHeight w:val="240" w:hRule="atLeast"/>
        </w:trPr>
        <w:tc>
          <w:tcPr>
            <w:tcW w:w="305" w:type="dxa"/>
            <w:tcBorders/>
            <w:vAlign w:val="center"/>
          </w:tcPr>
          <w:p>
            <w:pPr>
              <w:pStyle w:val="TableContents"/>
              <w:bidi w:val="0"/>
              <w:spacing w:before="0" w:after="283"/>
              <w:jc w:val="left"/>
              <w:rPr>
                <w:sz w:val="4"/>
                <w:szCs w:val="4"/>
              </w:rPr>
            </w:pPr>
            <w:r>
              <w:rPr>
                <w:sz w:val="4"/>
                <w:szCs w:val="4"/>
              </w:rPr>
            </w:r>
          </w:p>
        </w:tc>
        <w:tc>
          <w:tcPr>
            <w:tcW w:w="5675" w:type="dxa"/>
            <w:gridSpan w:val="2"/>
            <w:tcBorders/>
            <w:vAlign w:val="center"/>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5615" w:type="dxa"/>
            <w:tcBorders>
              <w:bottom w:val="single" w:sz="2" w:space="0" w:color="000000"/>
            </w:tcBorders>
            <w:tcMar>
              <w:bottom w:w="28" w:type="dxa"/>
            </w:tcMar>
          </w:tcPr>
          <w:p>
            <w:pPr>
              <w:pStyle w:val="TableContents"/>
              <w:bidi w:val="0"/>
              <w:spacing w:before="0" w:after="283"/>
              <w:jc w:val="left"/>
              <w:rPr/>
            </w:pPr>
            <w:r>
              <w:rPr/>
              <w:t>/s/ Paul DiMarco</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615" w:type="dxa"/>
            <w:tcBorders/>
          </w:tcPr>
          <w:p>
            <w:pPr>
              <w:pStyle w:val="TableContents"/>
              <w:bidi w:val="0"/>
              <w:spacing w:before="0" w:after="283"/>
              <w:jc w:val="left"/>
              <w:rPr/>
            </w:pPr>
            <w:r>
              <w:rPr/>
              <w:t>Name: Paul DiMarco</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615" w:type="dxa"/>
            <w:tcBorders/>
          </w:tcPr>
          <w:p>
            <w:pPr>
              <w:pStyle w:val="TableContents"/>
              <w:bidi w:val="0"/>
              <w:spacing w:before="0" w:after="283"/>
              <w:jc w:val="left"/>
              <w:rPr/>
            </w:pPr>
            <w:r>
              <w:rPr/>
              <w:t>Title: Executive Vice President and Chief Financial Officer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Twenty-Second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U.S. BANK TRUST COMPANY, NATIONAL ASSOCIATION, as Trustee</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5" w:type="dxa"/>
            <w:tcBorders>
              <w:bottom w:val="single" w:sz="2" w:space="0" w:color="000000"/>
            </w:tcBorders>
            <w:tcMar>
              <w:bottom w:w="28" w:type="dxa"/>
            </w:tcMar>
          </w:tcPr>
          <w:p>
            <w:pPr>
              <w:pStyle w:val="TableContents"/>
              <w:bidi w:val="0"/>
              <w:spacing w:before="0" w:after="283"/>
              <w:jc w:val="left"/>
              <w:rPr/>
            </w:pPr>
            <w:r>
              <w:rPr/>
              <w:t>/s/ Brandon Bonfig</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Brandon Bonfig</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Vice President</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Twenty-Second Supplemental Indenture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A </w:t>
      </w:r>
    </w:p>
    <w:p>
      <w:pPr>
        <w:pStyle w:val="TextBody"/>
        <w:bidi w:val="0"/>
        <w:spacing w:before="240" w:after="0"/>
        <w:jc w:val="center"/>
        <w:rPr>
          <w:rFonts w:ascii="Times New Roman" w:hAnsi="Times New Roman"/>
          <w:sz w:val="20"/>
        </w:rPr>
      </w:pPr>
      <w:r>
        <w:rPr>
          <w:rFonts w:ascii="Times New Roman" w:hAnsi="Times New Roman"/>
          <w:sz w:val="20"/>
        </w:rPr>
        <w:t xml:space="preserve">[Face of Note]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Language for Global Note to be inserted</w:t>
      </w:r>
      <w:r>
        <w:rPr>
          <w:rFonts w:ascii="Times New Roman" w:hAnsi="Times New Roman"/>
          <w:sz w:val="20"/>
        </w:rPr>
        <w:t xml:space="preserve">:] [THIS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TWENTY-SECOND SUPPLEMENTAL INDENTURE, (2) THIS GLOBAL NOTE MAY BE EXCHANGED IN WHOLE BUT NOT IN PART PURSUANT TO SECTION 2.06(a) OF THE TWENTY-SECOND SUPPLEMENTAL INDENTURE, (3) THIS GLOBAL NOTE MAY BE DELIVERED TO THE TRUSTEE FOR CANCELLATION PURSUANT TO SECTION 309 OF THE BASE INDENTURE AND (4) THIS GLOBAL NOTE MAY BE TRANSFERRED TO A SUCCESSOR DEPOSITARY WITH THE PRIOR WRITTEN CONSENT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(“DTC”),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Additional language to be inserted for Notes issued with original issue discount for purposes of Sections 1272, 1273 and 1275 of the United States Internal Revenue Code of 1986, as amended</w:t>
      </w:r>
      <w:r>
        <w:rPr>
          <w:rFonts w:ascii="Times New Roman" w:hAnsi="Times New Roman"/>
          <w:sz w:val="20"/>
        </w:rPr>
        <w:t xml:space="preserve">:] [THIS NOTE HAS BEEN ISSUED WITH ORIGINAL ISSUE DISCOUNT (“OID”) FOR PURPOSES OF SECTIONS 1272, 1273 AND 1275 OF THE UNITED STATES INTERNAL REVENUE CODE OF 1986, AS AMENDED. THE ISSUE PRICE, ORIGINAL ISSUE DATE, TOTAL AMOUNT OF OID AND YIELD TO MATURITY OF THE NOTE MAY BE OBTAINED BY CONTACTING THE TAX DIRECTOR AT MASTEC, INC., 800 S. DOUGLAS ROAD, 12TH FLOOR, CORAL GABLES, FLORIDA, 33134.]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CUSIP No.[    ]1 </w:t>
      </w:r>
    </w:p>
    <w:p>
      <w:pPr>
        <w:pStyle w:val="TextBody"/>
        <w:bidi w:val="0"/>
        <w:spacing w:before="0" w:after="0"/>
        <w:jc w:val="right"/>
        <w:rPr>
          <w:rFonts w:ascii="Times New Roman" w:hAnsi="Times New Roman"/>
          <w:sz w:val="20"/>
        </w:rPr>
      </w:pPr>
      <w:r>
        <w:rPr>
          <w:rFonts w:ascii="Times New Roman" w:hAnsi="Times New Roman"/>
          <w:sz w:val="20"/>
        </w:rPr>
        <w:t xml:space="preserve">ISIN No. [    ]2 </w:t>
      </w:r>
    </w:p>
    <w:p>
      <w:pPr>
        <w:pStyle w:val="TextBody"/>
        <w:bidi w:val="0"/>
        <w:spacing w:before="240" w:after="0"/>
        <w:jc w:val="center"/>
        <w:rPr>
          <w:rFonts w:ascii="Times New Roman" w:hAnsi="Times New Roman"/>
          <w:sz w:val="20"/>
        </w:rPr>
      </w:pPr>
      <w:r>
        <w:rPr>
          <w:rFonts w:ascii="Times New Roman" w:hAnsi="Times New Roman"/>
          <w:sz w:val="20"/>
        </w:rPr>
        <w:t xml:space="preserve">5.850% Senior Notes due 2036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39"/>
        <w:gridCol w:w="121"/>
        <w:gridCol w:w="4945"/>
      </w:tblGrid>
      <w:tr>
        <w:trPr/>
        <w:tc>
          <w:tcPr>
            <w:tcW w:w="513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945" w:type="dxa"/>
            <w:tcBorders/>
            <w:vAlign w:val="center"/>
          </w:tcPr>
          <w:p>
            <w:pPr>
              <w:pStyle w:val="TableContents"/>
              <w:bidi w:val="0"/>
              <w:spacing w:before="0" w:after="283"/>
              <w:jc w:val="left"/>
              <w:rPr>
                <w:sz w:val="4"/>
                <w:szCs w:val="4"/>
              </w:rPr>
            </w:pPr>
            <w:r>
              <w:rPr>
                <w:sz w:val="4"/>
                <w:szCs w:val="4"/>
              </w:rPr>
            </w:r>
          </w:p>
        </w:tc>
      </w:tr>
      <w:tr>
        <w:trPr/>
        <w:tc>
          <w:tcPr>
            <w:tcW w:w="5139" w:type="dxa"/>
            <w:tcBorders/>
          </w:tcPr>
          <w:p>
            <w:pPr>
              <w:pStyle w:val="TableContents"/>
              <w:bidi w:val="0"/>
              <w:spacing w:before="0" w:after="283"/>
              <w:jc w:val="left"/>
              <w:rPr/>
            </w:pPr>
            <w:r>
              <w:rPr/>
              <w:t>No. </w:t>
            </w:r>
            <w:r>
              <w:rPr>
                <w:u w:val="single"/>
              </w:rPr>
              <w:t>   </w:t>
            </w:r>
          </w:p>
        </w:tc>
        <w:tc>
          <w:tcPr>
            <w:tcW w:w="121" w:type="dxa"/>
            <w:tcBorders/>
            <w:vAlign w:val="bottom"/>
          </w:tcPr>
          <w:p>
            <w:pPr>
              <w:pStyle w:val="TableContents"/>
              <w:bidi w:val="0"/>
              <w:spacing w:before="0" w:after="283"/>
              <w:jc w:val="left"/>
              <w:rPr/>
            </w:pPr>
            <w:r>
              <w:rPr/>
              <w:t>  </w:t>
            </w:r>
          </w:p>
        </w:tc>
        <w:tc>
          <w:tcPr>
            <w:tcW w:w="4945" w:type="dxa"/>
            <w:tcBorders/>
          </w:tcPr>
          <w:p>
            <w:pPr>
              <w:pStyle w:val="TableContents"/>
              <w:bidi w:val="0"/>
              <w:spacing w:before="0" w:after="283"/>
              <w:jc w:val="right"/>
              <w:rPr/>
            </w:pPr>
            <w:r>
              <w:rPr/>
              <w:t>[Initially ] $</w:t>
            </w:r>
            <w:r>
              <w:rPr>
                <w:u w:val="single"/>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MASTEC, INC. </w:t>
      </w:r>
    </w:p>
    <w:p>
      <w:pPr>
        <w:pStyle w:val="TextBody"/>
        <w:bidi w:val="0"/>
        <w:spacing w:before="240" w:after="0"/>
        <w:jc w:val="left"/>
        <w:rPr>
          <w:rFonts w:ascii="Times New Roman" w:hAnsi="Times New Roman"/>
          <w:sz w:val="20"/>
        </w:rPr>
      </w:pPr>
      <w:r>
        <w:rPr>
          <w:rFonts w:ascii="Times New Roman" w:hAnsi="Times New Roman"/>
          <w:sz w:val="20"/>
        </w:rPr>
        <w:t>promises to pay to [</w:t>
      </w:r>
      <w:r>
        <w:rPr>
          <w:rFonts w:ascii="Times New Roman" w:hAnsi="Times New Roman"/>
          <w:sz w:val="20"/>
          <w:u w:val="single"/>
        </w:rPr>
        <w:t>    </w:t>
      </w:r>
      <w:r>
        <w:rPr>
          <w:rFonts w:ascii="Times New Roman" w:hAnsi="Times New Roman"/>
          <w:sz w:val="20"/>
        </w:rPr>
        <w:t xml:space="preserve">][CEDE &amp; CO.], or its registered assigns, the principal sum [of </w:t>
      </w:r>
      <w:r>
        <w:rPr>
          <w:rFonts w:ascii="Times New Roman" w:hAnsi="Times New Roman"/>
          <w:sz w:val="20"/>
          <w:u w:val="single"/>
        </w:rPr>
        <w:t>   </w:t>
      </w:r>
      <w:r>
        <w:rPr>
          <w:rFonts w:ascii="Times New Roman" w:hAnsi="Times New Roman"/>
          <w:sz w:val="20"/>
        </w:rPr>
        <w:t xml:space="preserve"> United States Dollars] [set forth on the Schedule of Exchanges of Interests in the Global Note attached hereto] on September 30, 2036. </w:t>
      </w:r>
    </w:p>
    <w:p>
      <w:pPr>
        <w:pStyle w:val="TextBody"/>
        <w:bidi w:val="0"/>
        <w:spacing w:before="240" w:after="0"/>
        <w:jc w:val="left"/>
        <w:rPr>
          <w:rFonts w:ascii="Times New Roman" w:hAnsi="Times New Roman"/>
          <w:sz w:val="20"/>
        </w:rPr>
      </w:pPr>
      <w:r>
        <w:rPr>
          <w:rFonts w:ascii="Times New Roman" w:hAnsi="Times New Roman"/>
          <w:sz w:val="20"/>
        </w:rPr>
        <w:t xml:space="preserve">Interest Payment Dates: March 30 and September 30, commencing [            ]3 </w:t>
      </w:r>
    </w:p>
    <w:p>
      <w:pPr>
        <w:pStyle w:val="TextBody"/>
        <w:bidi w:val="0"/>
        <w:spacing w:before="240" w:after="0"/>
        <w:jc w:val="left"/>
        <w:rPr>
          <w:rFonts w:ascii="Times New Roman" w:hAnsi="Times New Roman"/>
          <w:sz w:val="20"/>
        </w:rPr>
      </w:pPr>
      <w:r>
        <w:rPr>
          <w:rFonts w:ascii="Times New Roman" w:hAnsi="Times New Roman"/>
          <w:sz w:val="20"/>
        </w:rPr>
        <w:t xml:space="preserve">Additional provisions of this Note are set forth on the other side of this Note. </w:t>
      </w:r>
    </w:p>
    <w:p>
      <w:pPr>
        <w:pStyle w:val="TextBody"/>
        <w:bidi w:val="0"/>
        <w:spacing w:before="360" w:after="0"/>
        <w:jc w:val="left"/>
        <w:rPr>
          <w:rFonts w:ascii="Times New Roman" w:hAnsi="Times New Roman"/>
          <w:sz w:val="20"/>
        </w:rPr>
      </w:pPr>
      <w:r>
        <w:rPr>
          <w:rFonts w:ascii="Times New Roman" w:hAnsi="Times New Roman"/>
          <w:sz w:val="20"/>
        </w:rPr>
        <w:t xml:space="preserve">Record Dates: March 15 and September 15 </w:t>
      </w:r>
    </w:p>
    <w:p>
      <w:pPr>
        <w:pStyle w:val="TextBody"/>
        <w:bidi w:val="0"/>
        <w:spacing w:before="240" w:after="0"/>
        <w:jc w:val="left"/>
        <w:rPr>
          <w:rFonts w:ascii="Times New Roman" w:hAnsi="Times New Roman"/>
          <w:sz w:val="20"/>
        </w:rPr>
      </w:pPr>
      <w:r>
        <w:rPr>
          <w:rFonts w:ascii="Times New Roman" w:hAnsi="Times New Roman"/>
          <w:sz w:val="20"/>
        </w:rPr>
        <w:t xml:space="preserve">Dated: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7"/>
        <w:gridCol w:w="61"/>
        <w:gridCol w:w="3614"/>
      </w:tblGrid>
      <w:tr>
        <w:trPr/>
        <w:tc>
          <w:tcPr>
            <w:tcW w:w="407"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1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MASTEC, INC.</w:t>
            </w:r>
          </w:p>
        </w:tc>
      </w:tr>
      <w:tr>
        <w:trPr>
          <w:trHeight w:val="240" w:hRule="atLeast"/>
        </w:trPr>
        <w:tc>
          <w:tcPr>
            <w:tcW w:w="407" w:type="dxa"/>
            <w:tcBorders/>
            <w:vAlign w:val="center"/>
          </w:tcPr>
          <w:p>
            <w:pPr>
              <w:pStyle w:val="TableContents"/>
              <w:bidi w:val="0"/>
              <w:spacing w:before="0" w:after="283"/>
              <w:jc w:val="left"/>
              <w:rPr>
                <w:sz w:val="4"/>
                <w:szCs w:val="4"/>
              </w:rPr>
            </w:pPr>
            <w:r>
              <w:rPr>
                <w:sz w:val="4"/>
                <w:szCs w:val="4"/>
              </w:rPr>
            </w:r>
          </w:p>
        </w:tc>
        <w:tc>
          <w:tcPr>
            <w:tcW w:w="3675"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14" w:type="dxa"/>
            <w:tcBorders>
              <w:bottom w:val="single" w:sz="2" w:space="0" w:color="000000"/>
            </w:tcBorders>
            <w:tcMar>
              <w:bottom w:w="28" w:type="dxa"/>
            </w:tcMar>
          </w:tcPr>
          <w:p>
            <w:pPr>
              <w:pStyle w:val="TableContents"/>
              <w:bidi w:val="0"/>
              <w:spacing w:before="0" w:after="283"/>
              <w:jc w:val="left"/>
              <w:rPr/>
            </w:pPr>
            <w:r>
              <w:rPr/>
              <w:t> </w:t>
            </w:r>
          </w:p>
        </w:tc>
      </w:tr>
      <w:tr>
        <w:trPr/>
        <w:tc>
          <w:tcPr>
            <w:tcW w:w="407"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14" w:type="dxa"/>
            <w:tcBorders/>
          </w:tcPr>
          <w:p>
            <w:pPr>
              <w:pStyle w:val="TableContents"/>
              <w:bidi w:val="0"/>
              <w:spacing w:before="0" w:after="283"/>
              <w:jc w:val="left"/>
              <w:rPr/>
            </w:pPr>
            <w:r>
              <w:rPr/>
              <w:t>Name:</w:t>
            </w:r>
          </w:p>
        </w:tc>
      </w:tr>
      <w:tr>
        <w:trPr/>
        <w:tc>
          <w:tcPr>
            <w:tcW w:w="407"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14"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24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576323 AU3 for Initial Notes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US576323AU37 for Initial Notes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March 30, 2027 for the Initial Notes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Dated: </w:t>
      </w:r>
    </w:p>
    <w:p>
      <w:pPr>
        <w:pStyle w:val="TextBody"/>
        <w:bidi w:val="0"/>
        <w:spacing w:before="120" w:after="0"/>
        <w:jc w:val="left"/>
        <w:rPr>
          <w:rFonts w:ascii="Times New Roman" w:hAnsi="Times New Roman"/>
          <w:sz w:val="20"/>
        </w:rPr>
      </w:pPr>
      <w:r>
        <w:rPr>
          <w:rFonts w:ascii="Times New Roman" w:hAnsi="Times New Roman"/>
          <w:sz w:val="20"/>
        </w:rPr>
        <w:t xml:space="preserve">This is one of the Notes referred to </w:t>
      </w:r>
    </w:p>
    <w:p>
      <w:pPr>
        <w:pStyle w:val="TextBody"/>
        <w:bidi w:val="0"/>
        <w:spacing w:before="0" w:after="0"/>
        <w:jc w:val="left"/>
        <w:rPr>
          <w:rFonts w:ascii="Times New Roman" w:hAnsi="Times New Roman"/>
          <w:sz w:val="20"/>
        </w:rPr>
      </w:pPr>
      <w:r>
        <w:rPr>
          <w:rFonts w:ascii="Times New Roman" w:hAnsi="Times New Roman"/>
          <w:sz w:val="20"/>
        </w:rPr>
        <w:t xml:space="preserve">in the within-mentioned Indenture: </w:t>
      </w:r>
    </w:p>
    <w:p>
      <w:pPr>
        <w:pStyle w:val="TextBody"/>
        <w:bidi w:val="0"/>
        <w:spacing w:before="120" w:after="0"/>
        <w:jc w:val="left"/>
        <w:rPr>
          <w:rFonts w:ascii="Times New Roman" w:hAnsi="Times New Roman"/>
          <w:sz w:val="20"/>
        </w:rPr>
      </w:pPr>
      <w:r>
        <w:rPr>
          <w:rFonts w:ascii="Times New Roman" w:hAnsi="Times New Roman"/>
          <w:sz w:val="20"/>
        </w:rPr>
        <w:t xml:space="preserve">U.S. BANK TRUST COMPANY,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as Trustee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05"/>
        <w:gridCol w:w="84"/>
        <w:gridCol w:w="3693"/>
      </w:tblGrid>
      <w:tr>
        <w:trPr/>
        <w:tc>
          <w:tcPr>
            <w:tcW w:w="305"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3693" w:type="dxa"/>
            <w:tcBorders/>
            <w:vAlign w:val="center"/>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283"/>
              <w:jc w:val="left"/>
              <w:rPr/>
            </w:pPr>
            <w:r>
              <w:rPr/>
              <w:t>By:</w:t>
            </w:r>
          </w:p>
        </w:tc>
        <w:tc>
          <w:tcPr>
            <w:tcW w:w="84" w:type="dxa"/>
            <w:tcBorders/>
            <w:vAlign w:val="bottom"/>
          </w:tcPr>
          <w:p>
            <w:pPr>
              <w:pStyle w:val="TableContents"/>
              <w:bidi w:val="0"/>
              <w:spacing w:before="0" w:after="283"/>
              <w:jc w:val="left"/>
              <w:rPr/>
            </w:pPr>
            <w:r>
              <w:rPr/>
              <w:t> </w:t>
            </w:r>
          </w:p>
        </w:tc>
        <w:tc>
          <w:tcPr>
            <w:tcW w:w="3693" w:type="dxa"/>
            <w:tcBorders/>
          </w:tcPr>
          <w:p>
            <w:pPr>
              <w:pStyle w:val="TableContents"/>
              <w:pBdr>
                <w:bottom w:val="single" w:sz="2" w:space="1" w:color="000000"/>
              </w:pBdr>
              <w:bidi w:val="0"/>
              <w:spacing w:before="0" w:after="20"/>
              <w:jc w:val="left"/>
              <w:rPr/>
            </w:pPr>
            <w:r>
              <w:rPr/>
              <w:t> </w:t>
            </w:r>
          </w:p>
        </w:tc>
      </w:tr>
      <w:tr>
        <w:trPr/>
        <w:tc>
          <w:tcPr>
            <w:tcW w:w="305" w:type="dxa"/>
            <w:tcBorders/>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3693"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[Reverse of Note] </w:t>
      </w:r>
    </w:p>
    <w:p>
      <w:pPr>
        <w:pStyle w:val="TextBody"/>
        <w:bidi w:val="0"/>
        <w:spacing w:before="120" w:after="0"/>
        <w:jc w:val="center"/>
        <w:rPr>
          <w:rFonts w:ascii="Times New Roman" w:hAnsi="Times New Roman"/>
          <w:sz w:val="20"/>
        </w:rPr>
      </w:pPr>
      <w:r>
        <w:rPr>
          <w:rFonts w:ascii="Times New Roman" w:hAnsi="Times New Roman"/>
          <w:sz w:val="20"/>
        </w:rPr>
        <w:t xml:space="preserve">5.850% Senior Notes due 2036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herein but not defined have the meanings assigned to them in the Indenture referred to below unless otherwise indicated. </w:t>
      </w:r>
    </w:p>
    <w:p>
      <w:pPr>
        <w:pStyle w:val="TextBody"/>
        <w:bidi w:val="0"/>
        <w:spacing w:before="240" w:after="0"/>
        <w:jc w:val="left"/>
        <w:rPr>
          <w:rFonts w:ascii="Times New Roman" w:hAnsi="Times New Roman"/>
          <w:sz w:val="20"/>
        </w:rPr>
      </w:pPr>
      <w:r>
        <w:rPr>
          <w:rFonts w:ascii="Times New Roman" w:hAnsi="Times New Roman"/>
          <w:sz w:val="20"/>
        </w:rPr>
        <w:t>(1) INTEREST. MasTec, Inc., a Florida corporation (the “</w:t>
      </w:r>
      <w:r>
        <w:rPr>
          <w:rFonts w:ascii="Times New Roman" w:hAnsi="Times New Roman"/>
          <w:sz w:val="20"/>
          <w:u w:val="single"/>
        </w:rPr>
        <w:t>Company</w:t>
      </w:r>
      <w:r>
        <w:rPr>
          <w:rFonts w:ascii="Times New Roman" w:hAnsi="Times New Roman"/>
          <w:sz w:val="20"/>
        </w:rPr>
        <w:t>”), promises to pay interest on the principal amount of this Note at 5.850% per annum from [  ]4 until the Maturity Date. Interest on the Notes will be payable semiannually in arrears on March 30 and September 30 of each year, or if any such day is not a Business Day, on the next succeeding Business Day (each, an “</w:t>
      </w:r>
      <w:r>
        <w:rPr>
          <w:rFonts w:ascii="Times New Roman" w:hAnsi="Times New Roman"/>
          <w:sz w:val="20"/>
          <w:u w:val="single"/>
        </w:rPr>
        <w:t>Interest Pa</w:t>
      </w:r>
      <w:r>
        <w:rPr>
          <w:rFonts w:ascii="Times New Roman" w:hAnsi="Times New Roman"/>
          <w:sz w:val="20"/>
        </w:rPr>
        <w:t>y</w:t>
      </w:r>
      <w:r>
        <w:rPr>
          <w:rFonts w:ascii="Times New Roman" w:hAnsi="Times New Roman"/>
          <w:sz w:val="20"/>
          <w:u w:val="single"/>
        </w:rPr>
        <w:t>ment</w:t>
      </w:r>
      <w:r>
        <w:rPr>
          <w:rFonts w:ascii="Times New Roman" w:hAnsi="Times New Roman"/>
          <w:sz w:val="20"/>
        </w:rPr>
        <w:t xml:space="preserve"> </w:t>
      </w:r>
      <w:r>
        <w:rPr>
          <w:rFonts w:ascii="Times New Roman" w:hAnsi="Times New Roman"/>
          <w:sz w:val="20"/>
          <w:u w:val="single"/>
        </w:rPr>
        <w:t>Date</w:t>
      </w:r>
      <w:r>
        <w:rPr>
          <w:rFonts w:ascii="Times New Roman" w:hAnsi="Times New Roman"/>
          <w:sz w:val="20"/>
        </w:rPr>
        <w:t xml:space="preserve">”). Interest on the Notes will accrue from the most recent date to which interest has been paid or, if no interest has been paid, from the date of issuance, until the principal hereof is due. The first Interest Payment Date shall be [  ]5. The Company will pay interest on overdue principal at the rate borne by the Notes, and it shall pay interest on overdue installments of interest at the same rate borne by the Notes to the extent lawful. Interest will be computed on the basis of a 360-day year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If any Interest Payment Date, any redemption date, any repurchase date, the Maturity Date, Change of Control Payment Date or any other date on which the principal of or premium, if any, or interest on a Note becomes due and payable falls on a day that is not a Business Day, the required payment shall be made on the next Business Day as if it were made on the date the payment was due, and no interest shall accrue on the amount so payable for the period from and after the Interest Payment Date, redemption date, repurchase date, Maturity Date, Change of Control Payment Date or other date, as the case may be. </w:t>
      </w:r>
    </w:p>
    <w:p>
      <w:pPr>
        <w:pStyle w:val="TextBody"/>
        <w:bidi w:val="0"/>
        <w:spacing w:before="240" w:after="0"/>
        <w:jc w:val="left"/>
        <w:rPr>
          <w:rFonts w:ascii="Times New Roman" w:hAnsi="Times New Roman"/>
          <w:sz w:val="20"/>
        </w:rPr>
      </w:pPr>
      <w:r>
        <w:rPr>
          <w:rFonts w:ascii="Times New Roman" w:hAnsi="Times New Roman"/>
          <w:sz w:val="20"/>
        </w:rPr>
        <w:t>(2) METHOD OF PAYMENT. The Company will pay interest on the Notes (except defaulted interest) to the Persons who are registered Holders of Notes at the close of business on the March 15 and September 15 immediately preceding the Interest Payment Date (each, a “</w:t>
      </w:r>
      <w:r>
        <w:rPr>
          <w:rFonts w:ascii="Times New Roman" w:hAnsi="Times New Roman"/>
          <w:sz w:val="20"/>
          <w:u w:val="single"/>
        </w:rPr>
        <w:t>Record</w:t>
      </w:r>
      <w:r>
        <w:rPr>
          <w:rFonts w:ascii="Times New Roman" w:hAnsi="Times New Roman"/>
          <w:sz w:val="20"/>
        </w:rPr>
        <w:t xml:space="preserve"> </w:t>
      </w:r>
      <w:r>
        <w:rPr>
          <w:rFonts w:ascii="Times New Roman" w:hAnsi="Times New Roman"/>
          <w:sz w:val="20"/>
          <w:u w:val="single"/>
        </w:rPr>
        <w:t>Date</w:t>
      </w:r>
      <w:r>
        <w:rPr>
          <w:rFonts w:ascii="Times New Roman" w:hAnsi="Times New Roman"/>
          <w:sz w:val="20"/>
        </w:rPr>
        <w:t xml:space="preserve">”), as the case may be, even if such Notes are canceled after such Record Date and on or before such Interest Payment Date, except as provided in Section 307 of the Base Indenture with respect to defaulted interest. If a Holder has given wire transfer instructions to the Company, the Company will remit all principal, interest and premium, if any, on that Holder’s Notes in accordance with such instructions. All other payments on the Notes will be made at the office or agency of the Paying Agent unless the Company elects to make interest payments by mailing a check to the registered address of each Holder thereof. Such payment will be in such coin or currency of the United States of America as at the time of payment is legal tender for payment of public and private debts. </w:t>
      </w:r>
    </w:p>
    <w:p>
      <w:pPr>
        <w:pStyle w:val="TextBody"/>
        <w:bidi w:val="0"/>
        <w:spacing w:before="240" w:after="0"/>
        <w:jc w:val="left"/>
        <w:rPr>
          <w:rFonts w:ascii="Times New Roman" w:hAnsi="Times New Roman"/>
          <w:sz w:val="20"/>
        </w:rPr>
      </w:pPr>
      <w:r>
        <w:rPr>
          <w:rFonts w:ascii="Times New Roman" w:hAnsi="Times New Roman"/>
          <w:sz w:val="20"/>
        </w:rPr>
        <w:t xml:space="preserve">(3) PAYING AGENT AND REGISTRAR. Initially, U.S. Bank Trust Company, National Association, as the Trustee, will act as Paying Agent and Registrar. The Company may change any Paying Agent or Registrar without notice to any Holder. The Company or any of its Subsidiaries may act in any such capacity.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August 17, 2026 for the Initial Notes.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March 30, 2027 for the Initial Notes.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(4) INDENTURE. The Company issued the Notes under an Indenture dated as of June 5, 2009 (the “</w:t>
      </w:r>
      <w:r>
        <w:rPr>
          <w:rFonts w:ascii="Times New Roman" w:hAnsi="Times New Roman"/>
          <w:sz w:val="20"/>
          <w:u w:val="single"/>
        </w:rPr>
        <w:t>Base Indenture</w:t>
      </w:r>
      <w:r>
        <w:rPr>
          <w:rFonts w:ascii="Times New Roman" w:hAnsi="Times New Roman"/>
          <w:sz w:val="20"/>
        </w:rPr>
        <w:t>”), as supplemented by the Twenty-Second Supplemental Indenture, dated as of August 17, 2026 (the “</w:t>
      </w:r>
      <w:r>
        <w:rPr>
          <w:rFonts w:ascii="Times New Roman" w:hAnsi="Times New Roman"/>
          <w:sz w:val="20"/>
          <w:u w:val="single"/>
        </w:rPr>
        <w:t>Supplemental Indenture</w:t>
      </w:r>
      <w:r>
        <w:rPr>
          <w:rFonts w:ascii="Times New Roman" w:hAnsi="Times New Roman"/>
          <w:sz w:val="20"/>
        </w:rPr>
        <w:t>” and the Base Indenture as so supplemented by the Supplemental Indenture, the “</w:t>
      </w:r>
      <w:r>
        <w:rPr>
          <w:rFonts w:ascii="Times New Roman" w:hAnsi="Times New Roman"/>
          <w:sz w:val="20"/>
          <w:u w:val="single"/>
        </w:rPr>
        <w:t>Indenture</w:t>
      </w:r>
      <w:r>
        <w:rPr>
          <w:rFonts w:ascii="Times New Roman" w:hAnsi="Times New Roman"/>
          <w:sz w:val="20"/>
        </w:rPr>
        <w:t xml:space="preserve">”) between the Company and the Trustee. The terms of the Notes include those stated in the Indenture and those made part of the Indenture by reference to the TIA. The Notes are subject to all the terms and provisions of the Indenture, and Holders are referred to the Indenture and the TIA for a statement of such terms. To the extent any provision of this Note conflicts with the express provisions of the Indenture, the provisions of the Indenture shall govern and be controlling. </w:t>
      </w:r>
    </w:p>
    <w:p>
      <w:pPr>
        <w:pStyle w:val="TextBody"/>
        <w:bidi w:val="0"/>
        <w:spacing w:before="240" w:after="0"/>
        <w:jc w:val="left"/>
        <w:rPr>
          <w:rFonts w:ascii="Times New Roman" w:hAnsi="Times New Roman"/>
          <w:sz w:val="20"/>
        </w:rPr>
      </w:pPr>
      <w:r>
        <w:rPr>
          <w:rFonts w:ascii="Times New Roman" w:hAnsi="Times New Roman"/>
          <w:sz w:val="20"/>
        </w:rPr>
        <w:t xml:space="preserve">The Notes are general senior unsecured obligations of the Company. This Note is one of the Notes referred to in the Indenture. The Notes include the Initial Notes and any Additional Notes. The Indenture imposes certain limitations on the ability of the Company and its Restricted Subsidiaries to, among other things, create or incur Liens and enter into Sale/Leaseback Transactions. The Indenture also imposes limitations on the ability of the Company to consolidate or merge with or into any other Person or convey, transfer or lease all or substantially all of its assets. </w:t>
      </w:r>
    </w:p>
    <w:p>
      <w:pPr>
        <w:pStyle w:val="TextBody"/>
        <w:bidi w:val="0"/>
        <w:spacing w:before="240" w:after="0"/>
        <w:jc w:val="left"/>
        <w:rPr>
          <w:rFonts w:ascii="Times New Roman" w:hAnsi="Times New Roman"/>
          <w:sz w:val="20"/>
        </w:rPr>
      </w:pPr>
      <w:r>
        <w:rPr>
          <w:rFonts w:ascii="Times New Roman" w:hAnsi="Times New Roman"/>
          <w:sz w:val="20"/>
        </w:rPr>
        <w:t>(5) OPTIONAL REDEMPTION</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Prior to June 30, 2036 (the “</w:t>
      </w:r>
      <w:r>
        <w:rPr>
          <w:rFonts w:ascii="Times New Roman" w:hAnsi="Times New Roman"/>
          <w:sz w:val="20"/>
          <w:u w:val="single"/>
        </w:rPr>
        <w:t>Par Call Date</w:t>
      </w:r>
      <w:r>
        <w:rPr>
          <w:rFonts w:ascii="Times New Roman" w:hAnsi="Times New Roman"/>
          <w:sz w:val="20"/>
        </w:rPr>
        <w:t xml:space="preserve">”), the Company may redeem the Notes at its option, in whole or in part, at any time and from time to time, at a redemption price (expressed as a percentage of principal amount and rounded to three decimal places) equal to the greater of: </w:t>
      </w:r>
    </w:p>
    <w:p>
      <w:pPr>
        <w:pStyle w:val="TextBody"/>
        <w:bidi w:val="0"/>
        <w:spacing w:before="120" w:after="0"/>
        <w:jc w:val="left"/>
        <w:rPr>
          <w:rFonts w:ascii="Times New Roman" w:hAnsi="Times New Roman"/>
          <w:sz w:val="20"/>
        </w:rPr>
      </w:pPr>
      <w:r>
        <w:rPr>
          <w:rFonts w:ascii="Times New Roman" w:hAnsi="Times New Roman"/>
          <w:sz w:val="20"/>
        </w:rPr>
        <w:t xml:space="preserve">(1)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20 basis points less (b) interest accrued to, but excluding, the redemption date, and </w:t>
      </w:r>
    </w:p>
    <w:p>
      <w:pPr>
        <w:pStyle w:val="TextBody"/>
        <w:bidi w:val="0"/>
        <w:spacing w:before="120" w:after="0"/>
        <w:jc w:val="left"/>
        <w:rPr>
          <w:rFonts w:ascii="Times New Roman" w:hAnsi="Times New Roman"/>
          <w:sz w:val="20"/>
        </w:rPr>
      </w:pPr>
      <w:r>
        <w:rPr>
          <w:rFonts w:ascii="Times New Roman" w:hAnsi="Times New Roman"/>
          <w:sz w:val="20"/>
        </w:rPr>
        <w:t xml:space="preserve">(2) 100% of the principal amount of the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on the principal amount being redeemed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(b) On or after the Par Call Date, the Company may redeem the Notes, in whole or in part, at any time and from time to time, at a redemption price equal to 100% of the principal amount of the Notes being redeemed plus accrued and unpaid interest on the principal amount being redeemed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(6) MANDATORY REDEMPTION. The Company is not required to make mandatory redemption or sinking fund payments with respect to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NOTICE OF REDEMPTION. At least 10 days but not more than 60 days before a redemption date, the Company will mail or cause to be mailed, by first class mail, or electronically delivered (or otherwise transmitted in accordance with the Applicable Procedures), a notice of redemption to the Trustee and each Holder whose Notes are to be redeemed at its registered address (or otherwise transmitted in accordance with the Applicable Procedures), except that redemption notices may be mailed more than 60 days prior to a redemption date if the notice is issued in connection with a defeasance of the Notes or a satisfaction and discharge of the Indenture. Notes and portions of Notes selected will be in principal amounts of $2,000 or integral multiples of $1,000 in excess thereof; </w:t>
      </w:r>
      <w:r>
        <w:rPr>
          <w:rFonts w:ascii="Times New Roman" w:hAnsi="Times New Roman"/>
          <w:i/>
          <w:sz w:val="20"/>
        </w:rPr>
        <w:t xml:space="preserve">provided </w:t>
      </w:r>
      <w:r>
        <w:rPr>
          <w:rFonts w:ascii="Times New Roman" w:hAnsi="Times New Roman"/>
          <w:sz w:val="20"/>
        </w:rPr>
        <w:t xml:space="preserve">that no Notes of $2,000 in principal amount or less will be redeemed in part. Unless the Company defaults in the payment of the redemption price, interest will cease to accrue on the Notes or portions thereof called for redemption on the applicable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Any notice may, at the Company’s discretion, be subject to the satisfaction or waiver of one or more conditions precedent. In that case, such notice shall state the nature of such conditions precedent, and, if applicable, state that the redemption date may be delayed until the conditions are satisfied or that, if the conditions are not satisfied, such redemption may not occur and the notice may be rescinded. </w:t>
      </w:r>
    </w:p>
    <w:p>
      <w:pPr>
        <w:pStyle w:val="TextBody"/>
        <w:bidi w:val="0"/>
        <w:spacing w:before="240" w:after="0"/>
        <w:jc w:val="left"/>
        <w:rPr>
          <w:rFonts w:ascii="Times New Roman" w:hAnsi="Times New Roman"/>
          <w:sz w:val="20"/>
        </w:rPr>
      </w:pPr>
      <w:r>
        <w:rPr>
          <w:rFonts w:ascii="Times New Roman" w:hAnsi="Times New Roman"/>
          <w:sz w:val="20"/>
        </w:rPr>
        <w:t xml:space="preserve">(8) REPURCHASE AT THE OPTION OF HOLDER. </w:t>
      </w:r>
    </w:p>
    <w:p>
      <w:pPr>
        <w:pStyle w:val="TextBody"/>
        <w:bidi w:val="0"/>
        <w:spacing w:before="240" w:after="0"/>
        <w:jc w:val="left"/>
        <w:rPr>
          <w:rFonts w:ascii="Times New Roman" w:hAnsi="Times New Roman"/>
          <w:sz w:val="20"/>
        </w:rPr>
      </w:pPr>
      <w:r>
        <w:rPr>
          <w:rFonts w:ascii="Times New Roman" w:hAnsi="Times New Roman"/>
          <w:sz w:val="20"/>
        </w:rPr>
        <w:t xml:space="preserve">Upon the occurrence of a Change of Control Triggering Event, each Holder of the Notes will have the right to require the Company to purchase all or a portion (equal to $2,000 or whole multiples of $1,000 in excess thereof) of such Holder’s Notes at a purchase price equal to 101% of the principal amount thereof </w:t>
      </w:r>
      <w:r>
        <w:rPr>
          <w:rFonts w:ascii="Times New Roman" w:hAnsi="Times New Roman"/>
          <w:i/>
          <w:sz w:val="20"/>
        </w:rPr>
        <w:t xml:space="preserve">plus </w:t>
      </w:r>
      <w:r>
        <w:rPr>
          <w:rFonts w:ascii="Times New Roman" w:hAnsi="Times New Roman"/>
          <w:sz w:val="20"/>
        </w:rPr>
        <w:t xml:space="preserve">accrued and unpaid interest, if any, to (but excluding) the date of purchase, subject to the right of holders of Notes on the relevant Record Date to receive interest due on the relevant Interest Payment Date. Within 30 days following the date upon which the Change of Control Triggering Event occurred or, at the Company’s option, prior to any Change of Control but after the public announcement of the pending Change of Control, the Company will send, by first class mail (or with respect to Global Notes, to the extent permitted or required by the Applicable Procedures, send electronically) a notice to each Holder of Notes, with a copy to the Trustee, which notice will govern the terms of the Change of Control Offer. </w:t>
      </w:r>
    </w:p>
    <w:p>
      <w:pPr>
        <w:pStyle w:val="TextBody"/>
        <w:bidi w:val="0"/>
        <w:spacing w:before="240" w:after="0"/>
        <w:jc w:val="left"/>
        <w:rPr>
          <w:rFonts w:ascii="Times New Roman" w:hAnsi="Times New Roman"/>
          <w:sz w:val="20"/>
        </w:rPr>
      </w:pPr>
      <w:r>
        <w:rPr>
          <w:rFonts w:ascii="Times New Roman" w:hAnsi="Times New Roman"/>
          <w:sz w:val="20"/>
        </w:rPr>
        <w:t xml:space="preserve">(9) DENOMINATIONS, TRANSFER, EXCHANGE. The Notes are in registered form without coupons in minimum denominations of $2,000 principal amount and integral multiples of $1,000 in excess thereof.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Neither the Company nor the Registrar is required to exchange or register the transfer of any Note selected for redemption in whole or in part, except for the unredeemed portion of any Note being redeemed in part. Also, neither the Company nor the Registrar is required to issue, exchange or register the transfer of any Notes during a period beginning at the opening of business 15 days before the day of any selection of Notes for redemption under Paragraph 5 and ending at the close of business on the day of selection, and neither the Company nor the Registrar is required to exchange or register the transfer of any Note during the period between a Record Date and the next succeeding Interest Payment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 PERSONS DEEMED OWNERS. The registered Holder of a Note shall be treated as its owner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(11) AMENDMENT, SUPPLEMENT AND WAIVER. The Indenture and the Notes may be amended or supplemented, and the rights and obligations thereunder may be waived, each in accordance with Article 9 of the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(12) DEFAULTS AND REMEDIES. The Events of Default relating to the Notes are defined in Section 6.01 of the Supplemental Indenture. Upon the occurrence of an Event of Default relating to the Notes, the rights and obligations of the Company, the Trustee and the Holders of Notes shall be as set forth in the applicable provisions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(13) TRUSTEE DEALINGS WITH COMPANY. The Trustee, in its individual or any other capacity, may make loans to, accept deposits from, and perform services for the Company or its Affiliates, and may otherwise deal with the Company or its Affiliates, as if it were not the Trustee. </w:t>
      </w:r>
    </w:p>
    <w:p>
      <w:pPr>
        <w:pStyle w:val="TextBody"/>
        <w:bidi w:val="0"/>
        <w:spacing w:before="240" w:after="0"/>
        <w:jc w:val="left"/>
        <w:rPr>
          <w:rFonts w:ascii="Times New Roman" w:hAnsi="Times New Roman"/>
          <w:sz w:val="20"/>
        </w:rPr>
      </w:pPr>
      <w:r>
        <w:rPr>
          <w:rFonts w:ascii="Times New Roman" w:hAnsi="Times New Roman"/>
          <w:sz w:val="20"/>
        </w:rPr>
        <w:t xml:space="preserve">(14) NO RECOURSE AGAINST OTHERS. No recourse for the payment of the principal of, premium, if any, or interest on this Note or for any claim based thereon or otherwise in respect thereof, and no recourse under or upon any obligation, covenant or agreement of any obligor in the Indenture or this Note or because of the creation of any Indebtedness represented thereby, shall be had against any incorporator, stockholder, officer (including, without limitation any Officer), director, employee or controlling person of the Company or any of its Subsidiaries or of any successor Person thereof. Each Holder, by accepting this Note, waives and releases all such liability. The waiver and release are part of the consideration for the issuance of this Note. Such waiver may not be effective to waive liabilities under the federal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(15) AUTHENTICATION. This Note will not be valid until authenticated by the manual or electronic signature of the Trustee or an authenticating agent. </w:t>
      </w:r>
    </w:p>
    <w:p>
      <w:pPr>
        <w:pStyle w:val="TextBody"/>
        <w:bidi w:val="0"/>
        <w:spacing w:before="240" w:after="0"/>
        <w:jc w:val="left"/>
        <w:rPr>
          <w:rFonts w:ascii="Times New Roman" w:hAnsi="Times New Roman"/>
          <w:sz w:val="20"/>
        </w:rPr>
      </w:pPr>
      <w:r>
        <w:rPr>
          <w:rFonts w:ascii="Times New Roman" w:hAnsi="Times New Roman"/>
          <w:sz w:val="20"/>
        </w:rPr>
        <w:t xml:space="preserve">(16) ABBREVIATIONS. Customary abbreviations may be used in the name of a Holder or an assignee, such as: TEN COM (= tenants in common), TEN ENT (= tenants by the entireties), JT TEN (= joint tenants with right of survivorship and not as tenants in common), CUST (= Custodian), and U/G/M/A (= Uniform Gifts to Minors Act). </w:t>
      </w:r>
    </w:p>
    <w:p>
      <w:pPr>
        <w:pStyle w:val="TextBody"/>
        <w:bidi w:val="0"/>
        <w:spacing w:before="240" w:after="0"/>
        <w:jc w:val="left"/>
        <w:rPr>
          <w:rFonts w:ascii="Times New Roman" w:hAnsi="Times New Roman"/>
          <w:sz w:val="20"/>
        </w:rPr>
      </w:pPr>
      <w:r>
        <w:rPr>
          <w:rFonts w:ascii="Times New Roman" w:hAnsi="Times New Roman"/>
          <w:sz w:val="20"/>
        </w:rPr>
        <w:t xml:space="preserve">(17) CUSIP NUMBERS, ISINS. The Company has caused CUSIP numbers and ISINs to be printed on the Notes, and the Trustee may use CUSIP numbers and ISINs in notices of redemption as a convenience to Holders. No representation is made as to the accuracy of such numbers either as printed on the Notes or as contained in any notice of redemption, and reliance may be placed only on the other identification numbers placed thereon. </w:t>
      </w:r>
    </w:p>
    <w:p>
      <w:pPr>
        <w:pStyle w:val="TextBody"/>
        <w:bidi w:val="0"/>
        <w:spacing w:before="240" w:after="0"/>
        <w:jc w:val="left"/>
        <w:rPr>
          <w:rFonts w:ascii="Times New Roman" w:hAnsi="Times New Roman"/>
          <w:sz w:val="20"/>
        </w:rPr>
      </w:pPr>
      <w:r>
        <w:rPr>
          <w:rFonts w:ascii="Times New Roman" w:hAnsi="Times New Roman"/>
          <w:sz w:val="20"/>
        </w:rPr>
        <w:t>(18) GOVERNING LAW</w:t>
      </w:r>
      <w:r>
        <w:rPr>
          <w:rFonts w:ascii="Times New Roman" w:hAnsi="Times New Roman"/>
          <w:i/>
          <w:sz w:val="20"/>
        </w:rPr>
        <w:t xml:space="preserve">. </w:t>
      </w:r>
      <w:r>
        <w:rPr>
          <w:rFonts w:ascii="Times New Roman" w:hAnsi="Times New Roman"/>
          <w:sz w:val="20"/>
        </w:rPr>
        <w:t xml:space="preserve">THIS NOTE SHALL BE GOVERNED BY, AND CONSTRUED IN ACCORDANCE WITH, THE LAWS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will furnish to any Holder upon written request and without charge a copy of the Indenture. Requests may be made to: </w:t>
      </w:r>
    </w:p>
    <w:p>
      <w:pPr>
        <w:pStyle w:val="TextBody"/>
        <w:bidi w:val="0"/>
        <w:spacing w:before="120" w:after="0"/>
        <w:jc w:val="center"/>
        <w:rPr>
          <w:rFonts w:ascii="Times New Roman" w:hAnsi="Times New Roman"/>
          <w:sz w:val="20"/>
        </w:rPr>
      </w:pPr>
      <w:r>
        <w:rPr>
          <w:rFonts w:ascii="Times New Roman" w:hAnsi="Times New Roman"/>
          <w:sz w:val="20"/>
        </w:rPr>
        <w:t xml:space="preserve">MasTec, Inc. </w:t>
      </w:r>
    </w:p>
    <w:p>
      <w:pPr>
        <w:pStyle w:val="TextBody"/>
        <w:bidi w:val="0"/>
        <w:spacing w:before="0" w:after="0"/>
        <w:jc w:val="center"/>
        <w:rPr>
          <w:rFonts w:ascii="Times New Roman" w:hAnsi="Times New Roman"/>
          <w:sz w:val="20"/>
        </w:rPr>
      </w:pPr>
      <w:r>
        <w:rPr>
          <w:rFonts w:ascii="Times New Roman" w:hAnsi="Times New Roman"/>
          <w:sz w:val="20"/>
        </w:rPr>
        <w:t xml:space="preserve">800 S. Douglas Road, 12th Floor </w:t>
      </w:r>
    </w:p>
    <w:p>
      <w:pPr>
        <w:pStyle w:val="TextBody"/>
        <w:bidi w:val="0"/>
        <w:spacing w:before="0" w:after="0"/>
        <w:jc w:val="center"/>
        <w:rPr>
          <w:rFonts w:ascii="Times New Roman" w:hAnsi="Times New Roman"/>
          <w:sz w:val="20"/>
        </w:rPr>
      </w:pPr>
      <w:r>
        <w:rPr>
          <w:rFonts w:ascii="Times New Roman" w:hAnsi="Times New Roman"/>
          <w:sz w:val="20"/>
        </w:rPr>
        <w:t xml:space="preserve">Coral Gables, Florida 33134 </w:t>
      </w:r>
    </w:p>
    <w:p>
      <w:pPr>
        <w:pStyle w:val="TextBody"/>
        <w:bidi w:val="0"/>
        <w:spacing w:before="0" w:after="0"/>
        <w:jc w:val="center"/>
        <w:rPr>
          <w:rFonts w:ascii="Times New Roman" w:hAnsi="Times New Roman"/>
          <w:sz w:val="20"/>
        </w:rPr>
      </w:pPr>
      <w:r>
        <w:rPr>
          <w:rFonts w:ascii="Times New Roman" w:hAnsi="Times New Roman"/>
          <w:sz w:val="20"/>
        </w:rPr>
        <w:t xml:space="preserve">E-mail: albert.cardenas@mastec.com </w:t>
      </w:r>
    </w:p>
    <w:p>
      <w:pPr>
        <w:pStyle w:val="TextBody"/>
        <w:bidi w:val="0"/>
        <w:spacing w:before="0" w:after="0"/>
        <w:jc w:val="center"/>
        <w:rPr>
          <w:rFonts w:ascii="Times New Roman" w:hAnsi="Times New Roman"/>
          <w:sz w:val="20"/>
        </w:rPr>
      </w:pPr>
      <w:r>
        <w:rPr>
          <w:rFonts w:ascii="Times New Roman" w:hAnsi="Times New Roman"/>
          <w:sz w:val="20"/>
        </w:rPr>
        <w:t xml:space="preserve">Attention: Albert de Cardenas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ASSIGNMENT FORM </w:t>
      </w:r>
    </w:p>
    <w:p>
      <w:pPr>
        <w:pStyle w:val="TextBody"/>
        <w:bidi w:val="0"/>
        <w:spacing w:before="240" w:after="0"/>
        <w:jc w:val="left"/>
        <w:rPr>
          <w:rFonts w:ascii="Times New Roman" w:hAnsi="Times New Roman"/>
          <w:sz w:val="20"/>
        </w:rPr>
      </w:pPr>
      <w:r>
        <w:rPr>
          <w:rFonts w:ascii="Times New Roman" w:hAnsi="Times New Roman"/>
          <w:sz w:val="20"/>
        </w:rPr>
        <w:t xml:space="preserve">To assign this Note, fill in the form below: </w:t>
      </w:r>
    </w:p>
    <w:p>
      <w:pPr>
        <w:pStyle w:val="TextBody"/>
        <w:bidi w:val="0"/>
        <w:spacing w:before="0" w:after="0"/>
        <w:jc w:val="left"/>
        <w:rPr/>
      </w:pPr>
      <w:r>
        <w:rPr/>
        <w:t> </w:t>
      </w:r>
    </w:p>
    <w:tbl>
      <w:tblPr>
        <w:tblW w:w="10400" w:type="dxa"/>
        <w:jc w:val="center"/>
        <w:tblInd w:w="0" w:type="dxa"/>
        <w:tblLayout w:type="fixed"/>
        <w:tblCellMar>
          <w:top w:w="0" w:type="dxa"/>
          <w:left w:w="0" w:type="dxa"/>
          <w:bottom w:w="0" w:type="dxa"/>
          <w:right w:w="0" w:type="dxa"/>
        </w:tblCellMar>
      </w:tblPr>
      <w:tblGrid>
        <w:gridCol w:w="10400"/>
      </w:tblGrid>
      <w:tr>
        <w:trPr/>
        <w:tc>
          <w:tcPr>
            <w:tcW w:w="10400" w:type="dxa"/>
            <w:tcBorders/>
            <w:vAlign w:val="center"/>
          </w:tcPr>
          <w:p>
            <w:pPr>
              <w:pStyle w:val="TableContents"/>
              <w:bidi w:val="0"/>
              <w:spacing w:before="0" w:after="283"/>
              <w:jc w:val="left"/>
              <w:rPr>
                <w:sz w:val="4"/>
                <w:szCs w:val="4"/>
              </w:rPr>
            </w:pPr>
            <w:r>
              <w:rPr>
                <w:sz w:val="4"/>
                <w:szCs w:val="4"/>
              </w:rPr>
            </w:r>
          </w:p>
        </w:tc>
      </w:tr>
      <w:tr>
        <w:trPr/>
        <w:tc>
          <w:tcPr>
            <w:tcW w:w="10400" w:type="dxa"/>
            <w:tcBorders/>
          </w:tcPr>
          <w:p>
            <w:pPr>
              <w:pStyle w:val="TableContents"/>
              <w:bidi w:val="0"/>
              <w:spacing w:before="0" w:after="283"/>
              <w:jc w:val="left"/>
              <w:rPr/>
            </w:pPr>
            <w:r>
              <w:rPr/>
              <w:t>(I) or (we) assign and transfer this Note to :</w:t>
            </w:r>
            <w:r>
              <w:rPr>
                <w:u w:val="single"/>
              </w:rPr>
              <w:t xml:space="preserve">                                            </w:t>
            </w:r>
          </w:p>
        </w:tc>
      </w:tr>
      <w:tr>
        <w:trPr>
          <w:trHeight w:val="120" w:hRule="atLeast"/>
        </w:trPr>
        <w:tc>
          <w:tcPr>
            <w:tcW w:w="10400" w:type="dxa"/>
            <w:tcBorders/>
            <w:vAlign w:val="center"/>
          </w:tcPr>
          <w:p>
            <w:pPr>
              <w:pStyle w:val="TableContents"/>
              <w:bidi w:val="0"/>
              <w:spacing w:before="0" w:after="283"/>
              <w:jc w:val="left"/>
              <w:rPr>
                <w:sz w:val="4"/>
                <w:szCs w:val="4"/>
              </w:rPr>
            </w:pPr>
            <w:r>
              <w:rPr>
                <w:sz w:val="4"/>
                <w:szCs w:val="4"/>
              </w:rPr>
            </w:r>
          </w:p>
        </w:tc>
      </w:tr>
      <w:tr>
        <w:trPr/>
        <w:tc>
          <w:tcPr>
            <w:tcW w:w="10400" w:type="dxa"/>
            <w:tcBorders>
              <w:bottom w:val="single" w:sz="2" w:space="0" w:color="000000"/>
            </w:tcBorders>
            <w:tcMar>
              <w:bottom w:w="28" w:type="dxa"/>
            </w:tcMar>
          </w:tcPr>
          <w:p>
            <w:pPr>
              <w:pStyle w:val="TableContents"/>
              <w:bidi w:val="0"/>
              <w:spacing w:before="0" w:after="283"/>
              <w:jc w:val="left"/>
              <w:rPr/>
            </w:pPr>
            <w:r>
              <w:rPr/>
              <w:t> </w:t>
            </w:r>
          </w:p>
        </w:tc>
      </w:tr>
      <w:tr>
        <w:trPr/>
        <w:tc>
          <w:tcPr>
            <w:tcW w:w="10400" w:type="dxa"/>
            <w:tcBorders/>
          </w:tcPr>
          <w:p>
            <w:pPr>
              <w:pStyle w:val="TableContents"/>
              <w:bidi w:val="0"/>
              <w:spacing w:before="0" w:after="283"/>
              <w:jc w:val="center"/>
              <w:rPr/>
            </w:pPr>
            <w:r>
              <w:rPr/>
              <w:t>(Insert assignee’s legal name)</w:t>
            </w:r>
          </w:p>
        </w:tc>
      </w:tr>
      <w:tr>
        <w:trPr>
          <w:trHeight w:val="120" w:hRule="atLeast"/>
        </w:trPr>
        <w:tc>
          <w:tcPr>
            <w:tcW w:w="10400" w:type="dxa"/>
            <w:tcBorders/>
            <w:vAlign w:val="center"/>
          </w:tcPr>
          <w:p>
            <w:pPr>
              <w:pStyle w:val="TableContents"/>
              <w:bidi w:val="0"/>
              <w:spacing w:before="0" w:after="283"/>
              <w:jc w:val="left"/>
              <w:rPr>
                <w:sz w:val="4"/>
                <w:szCs w:val="4"/>
              </w:rPr>
            </w:pPr>
            <w:r>
              <w:rPr>
                <w:sz w:val="4"/>
                <w:szCs w:val="4"/>
              </w:rPr>
            </w:r>
          </w:p>
        </w:tc>
      </w:tr>
      <w:tr>
        <w:trPr/>
        <w:tc>
          <w:tcPr>
            <w:tcW w:w="10400" w:type="dxa"/>
            <w:tcBorders>
              <w:bottom w:val="single" w:sz="2" w:space="0" w:color="000000"/>
            </w:tcBorders>
            <w:tcMar>
              <w:bottom w:w="28" w:type="dxa"/>
            </w:tcMar>
          </w:tcPr>
          <w:p>
            <w:pPr>
              <w:pStyle w:val="TableContents"/>
              <w:bidi w:val="0"/>
              <w:spacing w:before="0" w:after="283"/>
              <w:jc w:val="left"/>
              <w:rPr/>
            </w:pPr>
            <w:r>
              <w:rPr/>
              <w:t> </w:t>
            </w:r>
          </w:p>
        </w:tc>
      </w:tr>
      <w:tr>
        <w:trPr/>
        <w:tc>
          <w:tcPr>
            <w:tcW w:w="10400" w:type="dxa"/>
            <w:tcBorders/>
          </w:tcPr>
          <w:p>
            <w:pPr>
              <w:pStyle w:val="TableContents"/>
              <w:bidi w:val="0"/>
              <w:spacing w:before="0" w:after="283"/>
              <w:jc w:val="center"/>
              <w:rPr/>
            </w:pPr>
            <w:r>
              <w:rPr/>
              <w:t>(Insert assignee’s soc. sec. or tax I.D. no.)</w:t>
            </w:r>
          </w:p>
        </w:tc>
      </w:tr>
      <w:tr>
        <w:trPr>
          <w:trHeight w:val="120" w:hRule="atLeast"/>
        </w:trPr>
        <w:tc>
          <w:tcPr>
            <w:tcW w:w="10400" w:type="dxa"/>
            <w:tcBorders/>
            <w:vAlign w:val="center"/>
          </w:tcPr>
          <w:p>
            <w:pPr>
              <w:pStyle w:val="TableContents"/>
              <w:bidi w:val="0"/>
              <w:spacing w:before="0" w:after="283"/>
              <w:jc w:val="left"/>
              <w:rPr>
                <w:sz w:val="4"/>
                <w:szCs w:val="4"/>
              </w:rPr>
            </w:pPr>
            <w:r>
              <w:rPr>
                <w:sz w:val="4"/>
                <w:szCs w:val="4"/>
              </w:rPr>
            </w:r>
          </w:p>
        </w:tc>
      </w:tr>
      <w:tr>
        <w:trPr/>
        <w:tc>
          <w:tcPr>
            <w:tcW w:w="10400" w:type="dxa"/>
            <w:tcBorders>
              <w:bottom w:val="single" w:sz="2" w:space="0" w:color="000000"/>
            </w:tcBorders>
            <w:tcMar>
              <w:bottom w:w="28" w:type="dxa"/>
            </w:tcMar>
          </w:tcPr>
          <w:p>
            <w:pPr>
              <w:pStyle w:val="TableContents"/>
              <w:bidi w:val="0"/>
              <w:spacing w:before="0" w:after="283"/>
              <w:jc w:val="left"/>
              <w:rPr/>
            </w:pPr>
            <w:r>
              <w:rPr/>
              <w:t> </w:t>
            </w:r>
          </w:p>
        </w:tc>
      </w:tr>
      <w:tr>
        <w:trPr>
          <w:trHeight w:val="120" w:hRule="atLeast"/>
        </w:trPr>
        <w:tc>
          <w:tcPr>
            <w:tcW w:w="10400" w:type="dxa"/>
            <w:tcBorders/>
            <w:vAlign w:val="center"/>
          </w:tcPr>
          <w:p>
            <w:pPr>
              <w:pStyle w:val="TableContents"/>
              <w:bidi w:val="0"/>
              <w:spacing w:before="0" w:after="283"/>
              <w:jc w:val="left"/>
              <w:rPr>
                <w:sz w:val="4"/>
                <w:szCs w:val="4"/>
              </w:rPr>
            </w:pPr>
            <w:r>
              <w:rPr>
                <w:sz w:val="4"/>
                <w:szCs w:val="4"/>
              </w:rPr>
            </w:r>
          </w:p>
        </w:tc>
      </w:tr>
      <w:tr>
        <w:trPr/>
        <w:tc>
          <w:tcPr>
            <w:tcW w:w="10400" w:type="dxa"/>
            <w:tcBorders>
              <w:bottom w:val="single" w:sz="2" w:space="0" w:color="000000"/>
            </w:tcBorders>
            <w:tcMar>
              <w:bottom w:w="28" w:type="dxa"/>
            </w:tcMar>
          </w:tcPr>
          <w:p>
            <w:pPr>
              <w:pStyle w:val="TableContents"/>
              <w:bidi w:val="0"/>
              <w:spacing w:before="0" w:after="283"/>
              <w:jc w:val="left"/>
              <w:rPr/>
            </w:pPr>
            <w:r>
              <w:rPr/>
              <w:t> </w:t>
            </w:r>
          </w:p>
        </w:tc>
      </w:tr>
      <w:tr>
        <w:trPr>
          <w:trHeight w:val="120" w:hRule="atLeast"/>
        </w:trPr>
        <w:tc>
          <w:tcPr>
            <w:tcW w:w="10400" w:type="dxa"/>
            <w:tcBorders/>
            <w:vAlign w:val="center"/>
          </w:tcPr>
          <w:p>
            <w:pPr>
              <w:pStyle w:val="TableContents"/>
              <w:bidi w:val="0"/>
              <w:spacing w:before="0" w:after="283"/>
              <w:jc w:val="left"/>
              <w:rPr>
                <w:sz w:val="4"/>
                <w:szCs w:val="4"/>
              </w:rPr>
            </w:pPr>
            <w:r>
              <w:rPr>
                <w:sz w:val="4"/>
                <w:szCs w:val="4"/>
              </w:rPr>
            </w:r>
          </w:p>
        </w:tc>
      </w:tr>
      <w:tr>
        <w:trPr/>
        <w:tc>
          <w:tcPr>
            <w:tcW w:w="10400" w:type="dxa"/>
            <w:tcBorders>
              <w:bottom w:val="single" w:sz="2" w:space="0" w:color="000000"/>
            </w:tcBorders>
            <w:tcMar>
              <w:bottom w:w="28" w:type="dxa"/>
            </w:tcMar>
          </w:tcPr>
          <w:p>
            <w:pPr>
              <w:pStyle w:val="TableContents"/>
              <w:bidi w:val="0"/>
              <w:spacing w:before="0" w:after="283"/>
              <w:jc w:val="left"/>
              <w:rPr/>
            </w:pPr>
            <w:r>
              <w:rPr/>
              <w:t> </w:t>
            </w:r>
          </w:p>
        </w:tc>
      </w:tr>
      <w:tr>
        <w:trPr>
          <w:trHeight w:val="120" w:hRule="atLeast"/>
        </w:trPr>
        <w:tc>
          <w:tcPr>
            <w:tcW w:w="10400" w:type="dxa"/>
            <w:tcBorders/>
            <w:vAlign w:val="center"/>
          </w:tcPr>
          <w:p>
            <w:pPr>
              <w:pStyle w:val="TableContents"/>
              <w:bidi w:val="0"/>
              <w:spacing w:before="0" w:after="283"/>
              <w:jc w:val="left"/>
              <w:rPr>
                <w:sz w:val="4"/>
                <w:szCs w:val="4"/>
              </w:rPr>
            </w:pPr>
            <w:r>
              <w:rPr>
                <w:sz w:val="4"/>
                <w:szCs w:val="4"/>
              </w:rPr>
            </w:r>
          </w:p>
        </w:tc>
      </w:tr>
      <w:tr>
        <w:trPr/>
        <w:tc>
          <w:tcPr>
            <w:tcW w:w="10400" w:type="dxa"/>
            <w:tcBorders>
              <w:bottom w:val="single" w:sz="2" w:space="0" w:color="000000"/>
            </w:tcBorders>
            <w:tcMar>
              <w:bottom w:w="28" w:type="dxa"/>
            </w:tcMar>
          </w:tcPr>
          <w:p>
            <w:pPr>
              <w:pStyle w:val="TableContents"/>
              <w:bidi w:val="0"/>
              <w:spacing w:before="0" w:after="283"/>
              <w:jc w:val="left"/>
              <w:rPr/>
            </w:pPr>
            <w:r>
              <w:rPr/>
              <w:t> </w:t>
            </w:r>
          </w:p>
        </w:tc>
      </w:tr>
      <w:tr>
        <w:trPr/>
        <w:tc>
          <w:tcPr>
            <w:tcW w:w="10400" w:type="dxa"/>
            <w:tcBorders/>
          </w:tcPr>
          <w:p>
            <w:pPr>
              <w:pStyle w:val="TableContents"/>
              <w:bidi w:val="0"/>
              <w:spacing w:before="0" w:after="283"/>
              <w:jc w:val="center"/>
              <w:rPr/>
            </w:pPr>
            <w:r>
              <w:rPr/>
              <w:t>(Print or type assignee’s name, address and zip code)</w:t>
            </w:r>
          </w:p>
        </w:tc>
      </w:tr>
      <w:tr>
        <w:trPr>
          <w:trHeight w:val="120" w:hRule="atLeast"/>
        </w:trPr>
        <w:tc>
          <w:tcPr>
            <w:tcW w:w="10400" w:type="dxa"/>
            <w:tcBorders/>
            <w:vAlign w:val="center"/>
          </w:tcPr>
          <w:p>
            <w:pPr>
              <w:pStyle w:val="TableContents"/>
              <w:bidi w:val="0"/>
              <w:spacing w:before="0" w:after="283"/>
              <w:jc w:val="left"/>
              <w:rPr>
                <w:sz w:val="4"/>
                <w:szCs w:val="4"/>
              </w:rPr>
            </w:pPr>
            <w:r>
              <w:rPr>
                <w:sz w:val="4"/>
                <w:szCs w:val="4"/>
              </w:rPr>
            </w:r>
          </w:p>
        </w:tc>
      </w:tr>
      <w:tr>
        <w:trPr/>
        <w:tc>
          <w:tcPr>
            <w:tcW w:w="10400" w:type="dxa"/>
            <w:tcBorders/>
          </w:tcPr>
          <w:p>
            <w:pPr>
              <w:pStyle w:val="TableContents"/>
              <w:bidi w:val="0"/>
              <w:spacing w:before="0" w:after="283"/>
              <w:jc w:val="left"/>
              <w:rPr/>
            </w:pPr>
            <w:r>
              <w:rPr/>
              <w:t xml:space="preserve">and irrevocably appoint </w:t>
            </w:r>
            <w:r>
              <w:rPr>
                <w:u w:val="single"/>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transfer this Note on the books of the Company. The agent may substitute another to act for him. </w:t>
      </w:r>
    </w:p>
    <w:p>
      <w:pPr>
        <w:pStyle w:val="TextBody"/>
        <w:bidi w:val="0"/>
        <w:spacing w:before="240" w:after="0"/>
        <w:jc w:val="left"/>
        <w:rPr>
          <w:rFonts w:ascii="Times New Roman" w:hAnsi="Times New Roman"/>
          <w:sz w:val="20"/>
        </w:rPr>
      </w:pPr>
      <w:r>
        <w:rPr>
          <w:rFonts w:ascii="Times New Roman" w:hAnsi="Times New Roman"/>
          <w:sz w:val="20"/>
        </w:rPr>
        <w:t xml:space="preserve">Date: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639"/>
        <w:gridCol w:w="60"/>
        <w:gridCol w:w="2383"/>
      </w:tblGrid>
      <w:tr>
        <w:trPr/>
        <w:tc>
          <w:tcPr>
            <w:tcW w:w="163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83" w:type="dxa"/>
            <w:tcBorders/>
            <w:vAlign w:val="center"/>
          </w:tcPr>
          <w:p>
            <w:pPr>
              <w:pStyle w:val="TableContents"/>
              <w:bidi w:val="0"/>
              <w:spacing w:before="0" w:after="283"/>
              <w:jc w:val="left"/>
              <w:rPr>
                <w:sz w:val="4"/>
                <w:szCs w:val="4"/>
              </w:rPr>
            </w:pPr>
            <w:r>
              <w:rPr>
                <w:sz w:val="4"/>
                <w:szCs w:val="4"/>
              </w:rPr>
            </w:r>
          </w:p>
        </w:tc>
      </w:tr>
      <w:tr>
        <w:trPr/>
        <w:tc>
          <w:tcPr>
            <w:tcW w:w="1639" w:type="dxa"/>
            <w:tcBorders/>
          </w:tcPr>
          <w:p>
            <w:pPr>
              <w:pStyle w:val="TableContents"/>
              <w:bidi w:val="0"/>
              <w:spacing w:before="0" w:after="283"/>
              <w:jc w:val="left"/>
              <w:rPr/>
            </w:pPr>
            <w:r>
              <w:rPr/>
              <w:t>Your Signature: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383" w:type="dxa"/>
            <w:tcBorders>
              <w:bottom w:val="single" w:sz="2" w:space="0" w:color="000000"/>
            </w:tcBorders>
            <w:tcMar>
              <w:bottom w:w="28" w:type="dxa"/>
            </w:tcMar>
          </w:tcPr>
          <w:p>
            <w:pPr>
              <w:pStyle w:val="TableContents"/>
              <w:bidi w:val="0"/>
              <w:spacing w:before="0" w:after="283"/>
              <w:jc w:val="left"/>
              <w:rPr/>
            </w:pPr>
            <w:r>
              <w:rPr/>
              <w:t> </w:t>
            </w:r>
          </w:p>
        </w:tc>
      </w:tr>
      <w:tr>
        <w:trPr/>
        <w:tc>
          <w:tcPr>
            <w:tcW w:w="163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83" w:type="dxa"/>
            <w:tcBorders/>
          </w:tcPr>
          <w:p>
            <w:pPr>
              <w:pStyle w:val="TableContents"/>
              <w:bidi w:val="0"/>
              <w:spacing w:before="0" w:after="0"/>
              <w:jc w:val="left"/>
              <w:rPr>
                <w:rFonts w:ascii="Times New Roman" w:hAnsi="Times New Roman"/>
                <w:sz w:val="20"/>
              </w:rPr>
            </w:pPr>
            <w:r>
              <w:rPr>
                <w:rFonts w:ascii="Times New Roman" w:hAnsi="Times New Roman"/>
                <w:sz w:val="20"/>
              </w:rPr>
              <w:t>(Sign exactly as your name appears on the face of this Note)</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 xml:space="preserve">Signature Guarantee*: </w:t>
            </w:r>
            <w:r>
              <w:rPr>
                <w:u w:val="single"/>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Participant in a recognized Signature Guarantee Medallion Program (or other signature guarantor acceptable to the Trustee).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OPTION OF HOLDER TO ELECT PURCHASE </w:t>
      </w:r>
    </w:p>
    <w:p>
      <w:pPr>
        <w:pStyle w:val="TextBody"/>
        <w:bidi w:val="0"/>
        <w:spacing w:before="240" w:after="0"/>
        <w:jc w:val="left"/>
        <w:rPr>
          <w:rFonts w:ascii="Times New Roman" w:hAnsi="Times New Roman"/>
          <w:sz w:val="20"/>
        </w:rPr>
      </w:pPr>
      <w:r>
        <w:rPr>
          <w:rFonts w:ascii="Times New Roman" w:hAnsi="Times New Roman"/>
          <w:sz w:val="20"/>
        </w:rPr>
        <w:t xml:space="preserve">If you want to elect to have this Note purchased by the Company pursuant to Section 4.07 of the Indenture, check the box below: </w:t>
      </w:r>
    </w:p>
    <w:p>
      <w:pPr>
        <w:pStyle w:val="TextBody"/>
        <w:bidi w:val="0"/>
        <w:spacing w:before="0" w:after="0"/>
        <w:jc w:val="left"/>
        <w:rPr/>
      </w:pPr>
      <w:r>
        <w:rPr/>
        <w:t> </w:t>
      </w:r>
    </w:p>
    <w:p>
      <w:pPr>
        <w:pStyle w:val="TextBody"/>
        <w:bidi w:val="0"/>
        <w:spacing w:before="240" w:after="0"/>
        <w:jc w:val="center"/>
        <w:rPr/>
      </w:pP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you want to elect to have only part of the Note purchased by the Company pursuant to Section 4.07 of the Indenture, state the amount you elect to have purchased: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42"/>
        <w:gridCol w:w="113"/>
        <w:gridCol w:w="3694"/>
        <w:gridCol w:w="113"/>
        <w:gridCol w:w="143"/>
        <w:gridCol w:w="113"/>
        <w:gridCol w:w="1655"/>
        <w:gridCol w:w="113"/>
        <w:gridCol w:w="3719"/>
      </w:tblGrid>
      <w:tr>
        <w:trPr/>
        <w:tc>
          <w:tcPr>
            <w:tcW w:w="542"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3694"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3719" w:type="dxa"/>
            <w:tcBorders/>
            <w:vAlign w:val="center"/>
          </w:tcPr>
          <w:p>
            <w:pPr>
              <w:pStyle w:val="TableContents"/>
              <w:bidi w:val="0"/>
              <w:spacing w:before="0" w:after="283"/>
              <w:jc w:val="left"/>
              <w:rPr>
                <w:sz w:val="4"/>
                <w:szCs w:val="4"/>
              </w:rPr>
            </w:pPr>
            <w:r>
              <w:rPr>
                <w:sz w:val="4"/>
                <w:szCs w:val="4"/>
              </w:rPr>
            </w:r>
          </w:p>
        </w:tc>
      </w:tr>
      <w:tr>
        <w:trPr/>
        <w:tc>
          <w:tcPr>
            <w:tcW w:w="542"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3694"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113" w:type="dxa"/>
            <w:tcBorders/>
            <w:vAlign w:val="bottom"/>
          </w:tcPr>
          <w:p>
            <w:pPr>
              <w:pStyle w:val="TableContents"/>
              <w:bidi w:val="0"/>
              <w:spacing w:before="0" w:after="283"/>
              <w:jc w:val="left"/>
              <w:rPr/>
            </w:pPr>
            <w:r>
              <w:rPr/>
              <w:t> </w:t>
            </w:r>
          </w:p>
        </w:tc>
        <w:tc>
          <w:tcPr>
            <w:tcW w:w="1655" w:type="dxa"/>
            <w:tcBorders/>
            <w:vAlign w:val="bottom"/>
          </w:tcPr>
          <w:p>
            <w:pPr>
              <w:pStyle w:val="TableContents"/>
              <w:pBdr>
                <w:bottom w:val="single" w:sz="2" w:space="1" w:color="000000"/>
              </w:pBdr>
              <w:bidi w:val="0"/>
              <w:spacing w:before="0" w:after="20"/>
              <w:jc w:val="left"/>
              <w:rPr/>
            </w:pPr>
            <w:r>
              <w:rPr/>
              <w:t> </w:t>
            </w:r>
          </w:p>
        </w:tc>
        <w:tc>
          <w:tcPr>
            <w:tcW w:w="113" w:type="dxa"/>
            <w:tcBorders/>
            <w:vAlign w:val="bottom"/>
          </w:tcPr>
          <w:p>
            <w:pPr>
              <w:pStyle w:val="TableContents"/>
              <w:bidi w:val="0"/>
              <w:spacing w:before="0" w:after="283"/>
              <w:jc w:val="left"/>
              <w:rPr/>
            </w:pPr>
            <w:r>
              <w:rPr/>
              <w:t> </w:t>
            </w:r>
          </w:p>
        </w:tc>
        <w:tc>
          <w:tcPr>
            <w:tcW w:w="3719"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542" w:type="dxa"/>
            <w:tcBorders/>
            <w:vAlign w:val="center"/>
          </w:tcPr>
          <w:p>
            <w:pPr>
              <w:pStyle w:val="TableContents"/>
              <w:bidi w:val="0"/>
              <w:spacing w:before="0" w:after="283"/>
              <w:jc w:val="left"/>
              <w:rPr>
                <w:sz w:val="4"/>
                <w:szCs w:val="4"/>
              </w:rPr>
            </w:pPr>
            <w:r>
              <w:rPr>
                <w:sz w:val="4"/>
                <w:szCs w:val="4"/>
              </w:rPr>
            </w:r>
          </w:p>
        </w:tc>
        <w:tc>
          <w:tcPr>
            <w:tcW w:w="3807" w:type="dxa"/>
            <w:gridSpan w:val="2"/>
            <w:tcBorders/>
            <w:vAlign w:val="center"/>
          </w:tcPr>
          <w:p>
            <w:pPr>
              <w:pStyle w:val="TableContents"/>
              <w:bidi w:val="0"/>
              <w:spacing w:before="0" w:after="283"/>
              <w:jc w:val="left"/>
              <w:rPr>
                <w:sz w:val="4"/>
                <w:szCs w:val="4"/>
              </w:rPr>
            </w:pPr>
            <w:r>
              <w:rPr>
                <w:sz w:val="4"/>
                <w:szCs w:val="4"/>
              </w:rPr>
            </w:r>
          </w:p>
        </w:tc>
        <w:tc>
          <w:tcPr>
            <w:tcW w:w="256" w:type="dxa"/>
            <w:gridSpan w:val="2"/>
            <w:tcBorders/>
            <w:vAlign w:val="center"/>
          </w:tcPr>
          <w:p>
            <w:pPr>
              <w:pStyle w:val="TableContents"/>
              <w:bidi w:val="0"/>
              <w:spacing w:before="0" w:after="283"/>
              <w:jc w:val="left"/>
              <w:rPr>
                <w:sz w:val="4"/>
                <w:szCs w:val="4"/>
              </w:rPr>
            </w:pPr>
            <w:r>
              <w:rPr>
                <w:sz w:val="4"/>
                <w:szCs w:val="4"/>
              </w:rPr>
            </w:r>
          </w:p>
        </w:tc>
        <w:tc>
          <w:tcPr>
            <w:tcW w:w="1768" w:type="dxa"/>
            <w:gridSpan w:val="2"/>
            <w:tcBorders/>
            <w:vAlign w:val="center"/>
          </w:tcPr>
          <w:p>
            <w:pPr>
              <w:pStyle w:val="TableContents"/>
              <w:bidi w:val="0"/>
              <w:spacing w:before="0" w:after="283"/>
              <w:jc w:val="left"/>
              <w:rPr>
                <w:sz w:val="4"/>
                <w:szCs w:val="4"/>
              </w:rPr>
            </w:pPr>
            <w:r>
              <w:rPr>
                <w:sz w:val="4"/>
                <w:szCs w:val="4"/>
              </w:rPr>
            </w:r>
          </w:p>
        </w:tc>
        <w:tc>
          <w:tcPr>
            <w:tcW w:w="3832" w:type="dxa"/>
            <w:gridSpan w:val="2"/>
            <w:tcBorders/>
            <w:vAlign w:val="center"/>
          </w:tcPr>
          <w:p>
            <w:pPr>
              <w:pStyle w:val="TableContents"/>
              <w:bidi w:val="0"/>
              <w:spacing w:before="0" w:after="283"/>
              <w:jc w:val="left"/>
              <w:rPr>
                <w:sz w:val="4"/>
                <w:szCs w:val="4"/>
              </w:rPr>
            </w:pPr>
            <w:r>
              <w:rPr>
                <w:sz w:val="4"/>
                <w:szCs w:val="4"/>
              </w:rPr>
            </w:r>
          </w:p>
        </w:tc>
      </w:tr>
      <w:tr>
        <w:trPr/>
        <w:tc>
          <w:tcPr>
            <w:tcW w:w="542" w:type="dxa"/>
            <w:tcBorders/>
            <w:vAlign w:val="bottom"/>
          </w:tcPr>
          <w:p>
            <w:pPr>
              <w:pStyle w:val="TableContents"/>
              <w:bidi w:val="0"/>
              <w:spacing w:before="0" w:after="283"/>
              <w:jc w:val="left"/>
              <w:rPr/>
            </w:pPr>
            <w:r>
              <w:rPr/>
              <w:t>Date:</w:t>
            </w:r>
          </w:p>
        </w:tc>
        <w:tc>
          <w:tcPr>
            <w:tcW w:w="113" w:type="dxa"/>
            <w:tcBorders/>
            <w:vAlign w:val="bottom"/>
          </w:tcPr>
          <w:p>
            <w:pPr>
              <w:pStyle w:val="TableContents"/>
              <w:bidi w:val="0"/>
              <w:spacing w:before="0" w:after="283"/>
              <w:jc w:val="left"/>
              <w:rPr/>
            </w:pPr>
            <w:r>
              <w:rPr/>
              <w:t> </w:t>
            </w:r>
          </w:p>
        </w:tc>
        <w:tc>
          <w:tcPr>
            <w:tcW w:w="3694" w:type="dxa"/>
            <w:tcBorders/>
            <w:vAlign w:val="bottom"/>
          </w:tcPr>
          <w:p>
            <w:pPr>
              <w:pStyle w:val="TableContents"/>
              <w:bidi w:val="0"/>
              <w:spacing w:before="0" w:after="283"/>
              <w:jc w:val="left"/>
              <w:rPr>
                <w:u w:val="single"/>
              </w:rPr>
            </w:pPr>
            <w:r>
              <w:rPr>
                <w:u w:val="single"/>
              </w:rPr>
              <w:t>      </w:t>
            </w:r>
          </w:p>
        </w:tc>
        <w:tc>
          <w:tcPr>
            <w:tcW w:w="11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3719" w:type="dxa"/>
            <w:tcBorders/>
            <w:vAlign w:val="bottom"/>
          </w:tcPr>
          <w:p>
            <w:pPr>
              <w:pStyle w:val="TableContents"/>
              <w:bidi w:val="0"/>
              <w:spacing w:before="0" w:after="283"/>
              <w:jc w:val="left"/>
              <w:rPr>
                <w:sz w:val="4"/>
                <w:szCs w:val="4"/>
              </w:rPr>
            </w:pPr>
            <w:r>
              <w:rPr>
                <w:sz w:val="4"/>
                <w:szCs w:val="4"/>
              </w:rPr>
            </w:r>
          </w:p>
        </w:tc>
      </w:tr>
      <w:tr>
        <w:trPr/>
        <w:tc>
          <w:tcPr>
            <w:tcW w:w="542"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3694"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143"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left"/>
              <w:rPr/>
            </w:pPr>
            <w:r>
              <w:rPr/>
              <w:t>Your Signature:</w:t>
            </w:r>
          </w:p>
        </w:tc>
        <w:tc>
          <w:tcPr>
            <w:tcW w:w="113" w:type="dxa"/>
            <w:tcBorders/>
            <w:vAlign w:val="bottom"/>
          </w:tcPr>
          <w:p>
            <w:pPr>
              <w:pStyle w:val="TableContents"/>
              <w:bidi w:val="0"/>
              <w:spacing w:before="0" w:after="283"/>
              <w:jc w:val="left"/>
              <w:rPr/>
            </w:pPr>
            <w:r>
              <w:rPr/>
              <w:t> </w:t>
            </w:r>
          </w:p>
        </w:tc>
        <w:tc>
          <w:tcPr>
            <w:tcW w:w="3719" w:type="dxa"/>
            <w:tcBorders/>
          </w:tcPr>
          <w:p>
            <w:pPr>
              <w:pStyle w:val="TableContents"/>
              <w:pBdr>
                <w:bottom w:val="single" w:sz="2" w:space="1" w:color="000000"/>
              </w:pBdr>
              <w:bidi w:val="0"/>
              <w:spacing w:before="0" w:after="20"/>
              <w:jc w:val="left"/>
              <w:rPr/>
            </w:pPr>
            <w:r>
              <w:rPr/>
              <w:t> </w:t>
            </w:r>
          </w:p>
        </w:tc>
      </w:tr>
    </w:tbl>
    <w:tbl>
      <w:tblPr>
        <w:tblW w:w="5000" w:type="pct"/>
        <w:jc w:val="left"/>
        <w:tblInd w:w="0" w:type="dxa"/>
        <w:tblLayout w:type="fixed"/>
        <w:tblCellMar>
          <w:top w:w="0" w:type="dxa"/>
          <w:left w:w="0" w:type="dxa"/>
          <w:bottom w:w="0" w:type="dxa"/>
          <w:right w:w="0" w:type="dxa"/>
        </w:tblCellMar>
      </w:tblPr>
      <w:tblGrid>
        <w:gridCol w:w="22"/>
        <w:gridCol w:w="111"/>
        <w:gridCol w:w="3431"/>
        <w:gridCol w:w="111"/>
        <w:gridCol w:w="23"/>
        <w:gridCol w:w="60"/>
        <w:gridCol w:w="2616"/>
        <w:gridCol w:w="111"/>
        <w:gridCol w:w="3720"/>
      </w:tblGrid>
      <w:tr>
        <w:trPr/>
        <w:tc>
          <w:tcPr>
            <w:tcW w:w="22"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3431"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3720" w:type="dxa"/>
            <w:tcBorders/>
            <w:vAlign w:val="center"/>
          </w:tcPr>
          <w:p>
            <w:pPr>
              <w:pStyle w:val="TableContents"/>
              <w:bidi w:val="0"/>
              <w:spacing w:before="0" w:after="283"/>
              <w:jc w:val="left"/>
              <w:rPr>
                <w:sz w:val="4"/>
                <w:szCs w:val="4"/>
              </w:rPr>
            </w:pPr>
            <w:r>
              <w:rPr>
                <w:sz w:val="4"/>
                <w:szCs w:val="4"/>
              </w:rPr>
            </w:r>
          </w:p>
        </w:tc>
      </w:tr>
      <w:tr>
        <w:trPr/>
        <w:tc>
          <w:tcPr>
            <w:tcW w:w="22"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431"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720" w:type="dxa"/>
            <w:tcBorders/>
            <w:vAlign w:val="bottom"/>
          </w:tcPr>
          <w:p>
            <w:pPr>
              <w:pStyle w:val="TableContents"/>
              <w:bidi w:val="0"/>
              <w:spacing w:before="0" w:after="283"/>
              <w:jc w:val="left"/>
              <w:rPr/>
            </w:pPr>
            <w:r>
              <w:rPr/>
              <w:t>(Sign exactly as your name appears on the face of this Note)</w:t>
            </w:r>
          </w:p>
        </w:tc>
      </w:tr>
      <w:tr>
        <w:trPr/>
        <w:tc>
          <w:tcPr>
            <w:tcW w:w="22"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431"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  </w:t>
            </w:r>
            <w:r>
              <w:rPr/>
              <w:t>Tax Identification No.:</w:t>
            </w:r>
          </w:p>
        </w:tc>
        <w:tc>
          <w:tcPr>
            <w:tcW w:w="111" w:type="dxa"/>
            <w:tcBorders/>
            <w:vAlign w:val="bottom"/>
          </w:tcPr>
          <w:p>
            <w:pPr>
              <w:pStyle w:val="TableContents"/>
              <w:bidi w:val="0"/>
              <w:spacing w:before="0" w:after="283"/>
              <w:jc w:val="left"/>
              <w:rPr/>
            </w:pPr>
            <w:r>
              <w:rPr/>
              <w:t> </w:t>
            </w:r>
          </w:p>
        </w:tc>
        <w:tc>
          <w:tcPr>
            <w:tcW w:w="3720" w:type="dxa"/>
            <w:tcBorders/>
            <w:vAlign w:val="bottom"/>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2135"/>
        <w:gridCol w:w="60"/>
        <w:gridCol w:w="1887"/>
      </w:tblGrid>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r>
      <w:tr>
        <w:trPr/>
        <w:tc>
          <w:tcPr>
            <w:tcW w:w="2135" w:type="dxa"/>
            <w:tcBorders/>
          </w:tcPr>
          <w:p>
            <w:pPr>
              <w:pStyle w:val="TableContents"/>
              <w:bidi w:val="0"/>
              <w:spacing w:before="0" w:after="283"/>
              <w:jc w:val="left"/>
              <w:rPr/>
            </w:pPr>
            <w:r>
              <w:rPr/>
              <w:t>Signature Guarantee*:</w:t>
            </w:r>
          </w:p>
        </w:tc>
        <w:tc>
          <w:tcPr>
            <w:tcW w:w="60" w:type="dxa"/>
            <w:tcBorders/>
            <w:vAlign w:val="bottom"/>
          </w:tcPr>
          <w:p>
            <w:pPr>
              <w:pStyle w:val="TableContents"/>
              <w:bidi w:val="0"/>
              <w:spacing w:before="0" w:after="283"/>
              <w:jc w:val="left"/>
              <w:rPr/>
            </w:pPr>
            <w:r>
              <w:rPr/>
              <w:t> </w:t>
            </w:r>
          </w:p>
        </w:tc>
        <w:tc>
          <w:tcPr>
            <w:tcW w:w="1887" w:type="dxa"/>
            <w:tcBorders/>
            <w:vAlign w:val="bottom"/>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Participant in a recognized Signature Guarantee Medallion Program (or other signature guarantor acceptable to the Trustee).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OF EXCHANGES OF INTERESTS IN THE GLOBAL NOTE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exchanges of a part of this Global Note for an interest in another Global Note or for a Definitive Note, or exchanges of a part of another Global Note or Definitive Note for an interest in this Global Note, have been made: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22"/>
        <w:gridCol w:w="120"/>
        <w:gridCol w:w="1886"/>
        <w:gridCol w:w="120"/>
        <w:gridCol w:w="1886"/>
        <w:gridCol w:w="120"/>
        <w:gridCol w:w="1901"/>
        <w:gridCol w:w="120"/>
        <w:gridCol w:w="1830"/>
      </w:tblGrid>
      <w:tr>
        <w:trPr/>
        <w:tc>
          <w:tcPr>
            <w:tcW w:w="222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r>
      <w:tr>
        <w:trPr/>
        <w:tc>
          <w:tcPr>
            <w:tcW w:w="222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Date of Exchange</w:t>
            </w:r>
          </w:p>
        </w:tc>
        <w:tc>
          <w:tcPr>
            <w:tcW w:w="120" w:type="dxa"/>
            <w:tcBorders/>
            <w:vAlign w:val="bottom"/>
          </w:tcPr>
          <w:p>
            <w:pPr>
              <w:pStyle w:val="TableContents"/>
              <w:bidi w:val="0"/>
              <w:spacing w:before="0" w:after="283"/>
              <w:jc w:val="left"/>
              <w:rPr/>
            </w:pPr>
            <w:r>
              <w:rPr/>
              <w:t>  </w:t>
            </w:r>
          </w:p>
        </w:tc>
        <w:tc>
          <w:tcPr>
            <w:tcW w:w="188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Amount of decrease in</w:t>
              <w:br/>
              <w:t>Principal Amount at</w:t>
            </w:r>
          </w:p>
          <w:p>
            <w:pPr>
              <w:pStyle w:val="TableContents"/>
              <w:bidi w:val="0"/>
              <w:spacing w:before="0" w:after="0"/>
              <w:jc w:val="center"/>
              <w:rPr>
                <w:rFonts w:ascii="Times New Roman" w:hAnsi="Times New Roman"/>
                <w:sz w:val="16"/>
              </w:rPr>
            </w:pPr>
            <w:r>
              <w:rPr>
                <w:rFonts w:ascii="Times New Roman" w:hAnsi="Times New Roman"/>
                <w:sz w:val="16"/>
              </w:rPr>
              <w:t>Maturity of this</w:t>
            </w:r>
          </w:p>
          <w:p>
            <w:pPr>
              <w:pStyle w:val="TableContents"/>
              <w:bidi w:val="0"/>
              <w:spacing w:before="0" w:after="20"/>
              <w:jc w:val="center"/>
              <w:rPr>
                <w:rFonts w:ascii="Times New Roman" w:hAnsi="Times New Roman"/>
                <w:sz w:val="16"/>
              </w:rPr>
            </w:pPr>
            <w:r>
              <w:rPr>
                <w:rFonts w:ascii="Times New Roman" w:hAnsi="Times New Roman"/>
                <w:sz w:val="16"/>
              </w:rPr>
              <w:t>Global Note</w:t>
            </w:r>
          </w:p>
        </w:tc>
        <w:tc>
          <w:tcPr>
            <w:tcW w:w="120" w:type="dxa"/>
            <w:tcBorders/>
            <w:vAlign w:val="bottom"/>
          </w:tcPr>
          <w:p>
            <w:pPr>
              <w:pStyle w:val="TableContents"/>
              <w:bidi w:val="0"/>
              <w:spacing w:before="0" w:after="283"/>
              <w:jc w:val="left"/>
              <w:rPr/>
            </w:pPr>
            <w:r>
              <w:rPr/>
              <w:t>  </w:t>
            </w:r>
          </w:p>
        </w:tc>
        <w:tc>
          <w:tcPr>
            <w:tcW w:w="188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Amount of increase in</w:t>
              <w:br/>
              <w:t>Principal Amount at</w:t>
            </w:r>
          </w:p>
          <w:p>
            <w:pPr>
              <w:pStyle w:val="TableContents"/>
              <w:bidi w:val="0"/>
              <w:spacing w:before="0" w:after="0"/>
              <w:jc w:val="center"/>
              <w:rPr>
                <w:rFonts w:ascii="Times New Roman" w:hAnsi="Times New Roman"/>
                <w:sz w:val="16"/>
              </w:rPr>
            </w:pPr>
            <w:r>
              <w:rPr>
                <w:rFonts w:ascii="Times New Roman" w:hAnsi="Times New Roman"/>
                <w:sz w:val="16"/>
              </w:rPr>
              <w:t>Maturity of this</w:t>
            </w:r>
          </w:p>
          <w:p>
            <w:pPr>
              <w:pStyle w:val="TableContents"/>
              <w:bidi w:val="0"/>
              <w:spacing w:before="0" w:after="20"/>
              <w:jc w:val="center"/>
              <w:rPr>
                <w:rFonts w:ascii="Times New Roman" w:hAnsi="Times New Roman"/>
                <w:sz w:val="16"/>
              </w:rPr>
            </w:pPr>
            <w:r>
              <w:rPr>
                <w:rFonts w:ascii="Times New Roman" w:hAnsi="Times New Roman"/>
                <w:sz w:val="16"/>
              </w:rPr>
              <w:t>Global Note</w:t>
            </w:r>
          </w:p>
        </w:tc>
        <w:tc>
          <w:tcPr>
            <w:tcW w:w="120" w:type="dxa"/>
            <w:tcBorders/>
            <w:vAlign w:val="bottom"/>
          </w:tcPr>
          <w:p>
            <w:pPr>
              <w:pStyle w:val="TableContents"/>
              <w:bidi w:val="0"/>
              <w:spacing w:before="0" w:after="283"/>
              <w:jc w:val="left"/>
              <w:rPr/>
            </w:pPr>
            <w:r>
              <w:rPr/>
              <w:t>  </w:t>
            </w:r>
          </w:p>
        </w:tc>
        <w:tc>
          <w:tcPr>
            <w:tcW w:w="1901"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Principal Amount at</w:t>
            </w:r>
          </w:p>
          <w:p>
            <w:pPr>
              <w:pStyle w:val="TableContents"/>
              <w:bidi w:val="0"/>
              <w:spacing w:before="0" w:after="0"/>
              <w:jc w:val="center"/>
              <w:rPr>
                <w:rFonts w:ascii="Times New Roman" w:hAnsi="Times New Roman"/>
                <w:sz w:val="16"/>
              </w:rPr>
            </w:pPr>
            <w:r>
              <w:rPr>
                <w:rFonts w:ascii="Times New Roman" w:hAnsi="Times New Roman"/>
                <w:sz w:val="16"/>
              </w:rPr>
              <w:t>Maturity of this</w:t>
            </w:r>
          </w:p>
          <w:p>
            <w:pPr>
              <w:pStyle w:val="TableContents"/>
              <w:bidi w:val="0"/>
              <w:spacing w:before="0" w:after="0"/>
              <w:jc w:val="center"/>
              <w:rPr>
                <w:rFonts w:ascii="Times New Roman" w:hAnsi="Times New Roman"/>
                <w:sz w:val="16"/>
              </w:rPr>
            </w:pPr>
            <w:r>
              <w:rPr>
                <w:rFonts w:ascii="Times New Roman" w:hAnsi="Times New Roman"/>
                <w:sz w:val="16"/>
              </w:rPr>
              <w:t>Global Note following</w:t>
            </w:r>
          </w:p>
          <w:p>
            <w:pPr>
              <w:pStyle w:val="TableContents"/>
              <w:bidi w:val="0"/>
              <w:spacing w:before="0" w:after="0"/>
              <w:jc w:val="center"/>
              <w:rPr>
                <w:rFonts w:ascii="Times New Roman" w:hAnsi="Times New Roman"/>
                <w:sz w:val="16"/>
              </w:rPr>
            </w:pPr>
            <w:r>
              <w:rPr>
                <w:rFonts w:ascii="Times New Roman" w:hAnsi="Times New Roman"/>
                <w:sz w:val="16"/>
              </w:rPr>
              <w:t>such decrease (or</w:t>
            </w:r>
          </w:p>
          <w:p>
            <w:pPr>
              <w:pStyle w:val="TableContents"/>
              <w:bidi w:val="0"/>
              <w:spacing w:before="0" w:after="20"/>
              <w:jc w:val="center"/>
              <w:rPr>
                <w:rFonts w:ascii="Times New Roman" w:hAnsi="Times New Roman"/>
                <w:sz w:val="16"/>
              </w:rPr>
            </w:pPr>
            <w:r>
              <w:rPr>
                <w:rFonts w:ascii="Times New Roman" w:hAnsi="Times New Roman"/>
                <w:sz w:val="16"/>
              </w:rPr>
              <w:t>increase)</w:t>
            </w:r>
          </w:p>
        </w:tc>
        <w:tc>
          <w:tcPr>
            <w:tcW w:w="120" w:type="dxa"/>
            <w:tcBorders/>
            <w:vAlign w:val="bottom"/>
          </w:tcPr>
          <w:p>
            <w:pPr>
              <w:pStyle w:val="TableContents"/>
              <w:bidi w:val="0"/>
              <w:spacing w:before="0" w:after="283"/>
              <w:jc w:val="left"/>
              <w:rPr/>
            </w:pPr>
            <w:r>
              <w:rPr/>
              <w:t>  </w:t>
            </w:r>
          </w:p>
        </w:tc>
        <w:tc>
          <w:tcPr>
            <w:tcW w:w="183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Signature of</w:t>
            </w:r>
          </w:p>
          <w:p>
            <w:pPr>
              <w:pStyle w:val="TableContents"/>
              <w:bidi w:val="0"/>
              <w:spacing w:before="0" w:after="0"/>
              <w:jc w:val="center"/>
              <w:rPr>
                <w:rFonts w:ascii="Times New Roman" w:hAnsi="Times New Roman"/>
                <w:sz w:val="16"/>
              </w:rPr>
            </w:pPr>
            <w:r>
              <w:rPr>
                <w:rFonts w:ascii="Times New Roman" w:hAnsi="Times New Roman"/>
                <w:sz w:val="16"/>
              </w:rPr>
              <w:t>authorized officer of</w:t>
            </w:r>
          </w:p>
          <w:p>
            <w:pPr>
              <w:pStyle w:val="TableContents"/>
              <w:bidi w:val="0"/>
              <w:spacing w:before="0" w:after="20"/>
              <w:jc w:val="center"/>
              <w:rPr>
                <w:rFonts w:ascii="Times New Roman" w:hAnsi="Times New Roman"/>
                <w:sz w:val="16"/>
              </w:rPr>
            </w:pPr>
            <w:r>
              <w:rPr>
                <w:rFonts w:ascii="Times New Roman" w:hAnsi="Times New Roman"/>
                <w:sz w:val="16"/>
              </w:rPr>
              <w:t>Trustee or Custodian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B-11 </w:t>
      </w:r>
    </w:p>
    <w:p>
      <w:pPr>
        <w:pStyle w:val="TextBody"/>
        <w:bidi w:val="0"/>
        <w:spacing w:before="0" w:after="0"/>
        <w:jc w:val="right"/>
        <w:rPr>
          <w:rFonts w:ascii="Times New Roman" w:hAnsi="Times New Roman"/>
          <w:b/>
          <w:sz w:val="20"/>
        </w:rPr>
      </w:pPr>
      <w:bookmarkStart w:id="4" w:name="d299977dex51.htm"/>
      <w:bookmarkStart w:id="5" w:name="ksd299977dex51"/>
      <w:bookmarkEnd w:id="4"/>
      <w:bookmarkEnd w:id="5"/>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80"/>
        <w:gridCol w:w="535"/>
        <w:gridCol w:w="2949"/>
        <w:gridCol w:w="181"/>
        <w:gridCol w:w="3360"/>
      </w:tblGrid>
      <w:tr>
        <w:trPr/>
        <w:tc>
          <w:tcPr>
            <w:tcW w:w="3180" w:type="dxa"/>
            <w:tcBorders/>
            <w:vAlign w:val="center"/>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sz w:val="4"/>
                <w:szCs w:val="4"/>
              </w:rPr>
            </w:pPr>
            <w:r>
              <w:rPr>
                <w:sz w:val="4"/>
                <w:szCs w:val="4"/>
              </w:rPr>
            </w:r>
          </w:p>
        </w:tc>
        <w:tc>
          <w:tcPr>
            <w:tcW w:w="2949"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3360" w:type="dxa"/>
            <w:tcBorders/>
            <w:vAlign w:val="center"/>
          </w:tcPr>
          <w:p>
            <w:pPr>
              <w:pStyle w:val="TableContents"/>
              <w:bidi w:val="0"/>
              <w:spacing w:before="0" w:after="283"/>
              <w:jc w:val="left"/>
              <w:rPr>
                <w:sz w:val="4"/>
                <w:szCs w:val="4"/>
              </w:rPr>
            </w:pPr>
            <w:r>
              <w:rPr>
                <w:sz w:val="4"/>
                <w:szCs w:val="4"/>
              </w:rPr>
            </w:r>
          </w:p>
        </w:tc>
      </w:tr>
      <w:tr>
        <w:trPr/>
        <w:tc>
          <w:tcPr>
            <w:tcW w:w="6664" w:type="dxa"/>
            <w:gridSpan w:val="3"/>
            <w:tcBorders/>
          </w:tcPr>
          <w:p>
            <w:pPr>
              <w:pStyle w:val="TableContents"/>
              <w:bidi w:val="0"/>
              <w:spacing w:before="0" w:after="283"/>
              <w:jc w:val="left"/>
              <w:rPr/>
            </w:pPr>
            <w:r>
              <w:rPr/>
              <w:t>FRIED, FRANK, HARRIS, SHRIVER &amp; JACOBSON LLP</w:t>
            </w:r>
          </w:p>
        </w:tc>
        <w:tc>
          <w:tcPr>
            <w:tcW w:w="181" w:type="dxa"/>
            <w:tcBorders/>
            <w:vAlign w:val="bottom"/>
          </w:tcPr>
          <w:p>
            <w:pPr>
              <w:pStyle w:val="TableContents"/>
              <w:bidi w:val="0"/>
              <w:spacing w:before="0" w:after="283"/>
              <w:jc w:val="left"/>
              <w:rPr/>
            </w:pPr>
            <w:r>
              <w:rPr/>
              <w:t>  </w:t>
            </w:r>
          </w:p>
        </w:tc>
        <w:tc>
          <w:tcPr>
            <w:tcW w:w="3360" w:type="dxa"/>
            <w:tcBorders/>
          </w:tcPr>
          <w:p>
            <w:pPr>
              <w:pStyle w:val="TableContents"/>
              <w:bidi w:val="0"/>
              <w:spacing w:before="0" w:after="283"/>
              <w:jc w:val="right"/>
              <w:rPr/>
            </w:pPr>
            <w:r>
              <w:rPr/>
              <w:drawing>
                <wp:inline distT="0" distB="0" distL="0" distR="0">
                  <wp:extent cx="695960" cy="9309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695960" cy="930910"/>
                          </a:xfrm>
                          <a:prstGeom prst="rect">
                            <a:avLst/>
                          </a:prstGeom>
                        </pic:spPr>
                      </pic:pic>
                    </a:graphicData>
                  </a:graphic>
                </wp:inline>
              </w:drawing>
            </w:r>
            <w:r>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August 17, 2026 </w:t>
      </w:r>
    </w:p>
    <w:p>
      <w:pPr>
        <w:pStyle w:val="TextBody"/>
        <w:bidi w:val="0"/>
        <w:spacing w:before="240" w:after="0"/>
        <w:jc w:val="left"/>
        <w:rPr>
          <w:rFonts w:ascii="Times New Roman" w:hAnsi="Times New Roman"/>
          <w:sz w:val="20"/>
        </w:rPr>
      </w:pPr>
      <w:r>
        <w:rPr>
          <w:rFonts w:ascii="Times New Roman" w:hAnsi="Times New Roman"/>
          <w:sz w:val="20"/>
        </w:rPr>
        <w:t xml:space="preserve">MasTec, Inc. </w:t>
      </w:r>
    </w:p>
    <w:p>
      <w:pPr>
        <w:pStyle w:val="TextBody"/>
        <w:bidi w:val="0"/>
        <w:spacing w:before="0" w:after="0"/>
        <w:jc w:val="left"/>
        <w:rPr>
          <w:rFonts w:ascii="Times New Roman" w:hAnsi="Times New Roman"/>
          <w:sz w:val="20"/>
        </w:rPr>
      </w:pPr>
      <w:r>
        <w:rPr>
          <w:rFonts w:ascii="Times New Roman" w:hAnsi="Times New Roman"/>
          <w:sz w:val="20"/>
        </w:rPr>
        <w:t xml:space="preserve">800 S. Douglas Road, 12th Floor </w:t>
      </w:r>
    </w:p>
    <w:p>
      <w:pPr>
        <w:pStyle w:val="TextBody"/>
        <w:bidi w:val="0"/>
        <w:spacing w:before="0" w:after="0"/>
        <w:jc w:val="left"/>
        <w:rPr>
          <w:rFonts w:ascii="Times New Roman" w:hAnsi="Times New Roman"/>
          <w:sz w:val="20"/>
        </w:rPr>
      </w:pPr>
      <w:r>
        <w:rPr>
          <w:rFonts w:ascii="Times New Roman" w:hAnsi="Times New Roman"/>
          <w:sz w:val="20"/>
        </w:rPr>
        <w:t xml:space="preserve">Coral Gables, Florida 33134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counsel to MasTec, Inc., a Florida corporation (the “</w:t>
      </w:r>
      <w:r>
        <w:rPr>
          <w:rFonts w:ascii="Times New Roman" w:hAnsi="Times New Roman"/>
          <w:sz w:val="20"/>
          <w:u w:val="single"/>
        </w:rPr>
        <w:t>Company</w:t>
      </w:r>
      <w:r>
        <w:rPr>
          <w:rFonts w:ascii="Times New Roman" w:hAnsi="Times New Roman"/>
          <w:sz w:val="20"/>
        </w:rPr>
        <w:t>”), in connection with the Registration Statement on Form S-3 (File No. 333-285425) filed with the Securities and Exchange Commission (the “</w:t>
      </w:r>
      <w:r>
        <w:rPr>
          <w:rFonts w:ascii="Times New Roman" w:hAnsi="Times New Roman"/>
          <w:sz w:val="20"/>
          <w:u w:val="single"/>
        </w:rPr>
        <w:t>Commission</w:t>
      </w:r>
      <w:r>
        <w:rPr>
          <w:rFonts w:ascii="Times New Roman" w:hAnsi="Times New Roman"/>
          <w:sz w:val="20"/>
        </w:rPr>
        <w:t>”) on February 28, 2025, which became effective upon filing in accordance with Rule 462(e) under the Securities Act of 1933, as amended (the “</w:t>
      </w:r>
      <w:r>
        <w:rPr>
          <w:rFonts w:ascii="Times New Roman" w:hAnsi="Times New Roman"/>
          <w:sz w:val="20"/>
          <w:u w:val="single"/>
        </w:rPr>
        <w:t>Securities Act</w:t>
      </w:r>
      <w:r>
        <w:rPr>
          <w:rFonts w:ascii="Times New Roman" w:hAnsi="Times New Roman"/>
          <w:sz w:val="20"/>
        </w:rPr>
        <w:t>”), together with the documents incorporated by reference therein (the “</w:t>
      </w:r>
      <w:r>
        <w:rPr>
          <w:rFonts w:ascii="Times New Roman" w:hAnsi="Times New Roman"/>
          <w:sz w:val="20"/>
          <w:u w:val="single"/>
        </w:rPr>
        <w:t>Registration Statement</w:t>
      </w:r>
      <w:r>
        <w:rPr>
          <w:rFonts w:ascii="Times New Roman" w:hAnsi="Times New Roman"/>
          <w:sz w:val="20"/>
        </w:rPr>
        <w:t>”), with respect to the issuance and sale by the Company of $650,000,000 in aggregate principal amount of its 5.850% Senior Notes due 2036 (the “</w:t>
      </w:r>
      <w:r>
        <w:rPr>
          <w:rFonts w:ascii="Times New Roman" w:hAnsi="Times New Roman"/>
          <w:sz w:val="20"/>
          <w:u w:val="single"/>
        </w:rPr>
        <w:t>Notes</w:t>
      </w:r>
      <w:r>
        <w:rPr>
          <w:rFonts w:ascii="Times New Roman" w:hAnsi="Times New Roman"/>
          <w:sz w:val="20"/>
        </w:rPr>
        <w:t>”) to the underwriters listed on Schedule I to the Underwriting Agreement (collectively, the “</w:t>
      </w:r>
      <w:r>
        <w:rPr>
          <w:rFonts w:ascii="Times New Roman" w:hAnsi="Times New Roman"/>
          <w:sz w:val="20"/>
          <w:u w:val="single"/>
        </w:rPr>
        <w:t>Underwriters</w:t>
      </w:r>
      <w:r>
        <w:rPr>
          <w:rFonts w:ascii="Times New Roman" w:hAnsi="Times New Roman"/>
          <w:sz w:val="20"/>
        </w:rPr>
        <w:t>”) pursuant to an indenture, dated June 5, 2009 (the “</w:t>
      </w:r>
      <w:r>
        <w:rPr>
          <w:rFonts w:ascii="Times New Roman" w:hAnsi="Times New Roman"/>
          <w:sz w:val="20"/>
          <w:u w:val="single"/>
        </w:rPr>
        <w:t>Base Indenture</w:t>
      </w:r>
      <w:r>
        <w:rPr>
          <w:rFonts w:ascii="Times New Roman" w:hAnsi="Times New Roman"/>
          <w:sz w:val="20"/>
        </w:rPr>
        <w:t>”), among the Company, the guarantors party thereto and U.S. Bank Trust Company, National Association, as trustee (the “</w:t>
      </w:r>
      <w:r>
        <w:rPr>
          <w:rFonts w:ascii="Times New Roman" w:hAnsi="Times New Roman"/>
          <w:sz w:val="20"/>
          <w:u w:val="single"/>
        </w:rPr>
        <w:t>Trustee</w:t>
      </w:r>
      <w:r>
        <w:rPr>
          <w:rFonts w:ascii="Times New Roman" w:hAnsi="Times New Roman"/>
          <w:sz w:val="20"/>
        </w:rPr>
        <w:t>”), as supplemented by the twenty-second supplemental indenture, dated as of August 17, 2026 (the “</w:t>
      </w:r>
      <w:r>
        <w:rPr>
          <w:rFonts w:ascii="Times New Roman" w:hAnsi="Times New Roman"/>
          <w:sz w:val="20"/>
          <w:u w:val="single"/>
        </w:rPr>
        <w:t>Supplemental Indenture</w:t>
      </w:r>
      <w:r>
        <w:rPr>
          <w:rFonts w:ascii="Times New Roman" w:hAnsi="Times New Roman"/>
          <w:sz w:val="20"/>
        </w:rPr>
        <w:t>” and, together with the Base Indenture, the “</w:t>
      </w:r>
      <w:r>
        <w:rPr>
          <w:rFonts w:ascii="Times New Roman" w:hAnsi="Times New Roman"/>
          <w:sz w:val="20"/>
          <w:u w:val="single"/>
        </w:rPr>
        <w:t>Indenture</w:t>
      </w:r>
      <w:r>
        <w:rPr>
          <w:rFonts w:ascii="Times New Roman" w:hAnsi="Times New Roman"/>
          <w:sz w:val="20"/>
        </w:rPr>
        <w:t>”) between the Company and the Trustee, pursuant to an Underwriting Agreement, dated August 6, 2026 (the “</w:t>
      </w:r>
      <w:r>
        <w:rPr>
          <w:rFonts w:ascii="Times New Roman" w:hAnsi="Times New Roman"/>
          <w:sz w:val="20"/>
          <w:u w:val="single"/>
        </w:rPr>
        <w:t>Underwriting Agreement</w:t>
      </w:r>
      <w:r>
        <w:rPr>
          <w:rFonts w:ascii="Times New Roman" w:hAnsi="Times New Roman"/>
          <w:sz w:val="20"/>
        </w:rPr>
        <w:t xml:space="preserve">”), among the Company and PNC Capital Markets LLC, Truist Securities, Inc. and Wells Fargo Securities, LLC, as representatives of the several Underwriters.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(i) investigated such questions of law, (ii) examined the originals or certified, conformed, electronic or reproduction copies of such agreements, instruments, documents and records of the Company, such certificates of public officials and such other documents and (iii) received such information from officers and representatives of the Company and its subsidiaries and others, in each case, as we have deemed necessary or appropriate for the purposes of this opinion. We examined, among other documents,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executed copy of the Underwriting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executed copies of the Notes issued and delivered on the date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executed copy of the Indenture; and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One New York Plaza, New York, New York 10004—1089 </w:t>
      </w:r>
    </w:p>
    <w:p>
      <w:pPr>
        <w:pStyle w:val="TextBody"/>
        <w:bidi w:val="0"/>
        <w:spacing w:before="120" w:after="0"/>
        <w:jc w:val="left"/>
        <w:rPr>
          <w:rFonts w:ascii="Times New Roman" w:hAnsi="Times New Roman"/>
          <w:sz w:val="20"/>
        </w:rPr>
      </w:pPr>
      <w:r>
        <w:rPr>
          <w:rFonts w:ascii="Times New Roman" w:hAnsi="Times New Roman"/>
          <w:sz w:val="20"/>
        </w:rPr>
        <w:t xml:space="preserve">T: +1.212.859.8000 </w:t>
      </w:r>
      <w:r>
        <w:rPr>
          <w:rFonts w:ascii="Times New Roman" w:hAnsi="Times New Roman"/>
          <w:i/>
          <w:sz w:val="20"/>
        </w:rPr>
        <w:t>friedfrank.com</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FRIED, FRANK, HARRIS, SHRIVER &amp; JACOBSON LLP </w:t>
      </w:r>
    </w:p>
    <w:p>
      <w:pPr>
        <w:pStyle w:val="TextBody"/>
        <w:bidi w:val="0"/>
        <w:spacing w:before="240" w:after="0"/>
        <w:jc w:val="right"/>
        <w:rPr>
          <w:rFonts w:ascii="Times New Roman" w:hAnsi="Times New Roman"/>
          <w:sz w:val="20"/>
        </w:rPr>
      </w:pPr>
      <w:r>
        <w:rPr>
          <w:rFonts w:ascii="Times New Roman" w:hAnsi="Times New Roman"/>
          <w:sz w:val="20"/>
        </w:rPr>
        <w:t xml:space="preserve">August 17,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Statement. </w:t>
            </w:r>
          </w:p>
        </w:tc>
      </w:tr>
    </w:tbl>
    <w:p>
      <w:pPr>
        <w:pStyle w:val="TextBody"/>
        <w:bidi w:val="0"/>
        <w:spacing w:before="240" w:after="0"/>
        <w:jc w:val="left"/>
        <w:rPr>
          <w:rFonts w:ascii="Times New Roman" w:hAnsi="Times New Roman"/>
          <w:sz w:val="20"/>
        </w:rPr>
      </w:pPr>
      <w:r>
        <w:rPr>
          <w:rFonts w:ascii="Times New Roman" w:hAnsi="Times New Roman"/>
          <w:sz w:val="20"/>
        </w:rPr>
        <w:t>The documents referred to in items (a) through (c) above, inclusive, are collectively referred to as the “</w:t>
      </w:r>
      <w:r>
        <w:rPr>
          <w:rFonts w:ascii="Times New Roman" w:hAnsi="Times New Roman"/>
          <w:sz w:val="20"/>
          <w:u w:val="single"/>
        </w:rPr>
        <w:t>Notes Documents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all such examinations, we have assumed the legal capacity of all natural persons, the genuineness of all signatures, the authenticity of original and certified documents and the conformity to original or certified documents of all copies submitted to us as conformed, electronic or reproduction copies. As to various questions of fact relevant to the opinion expressed herein, we have relied upon, and assume the accuracy of, representations and warranties contained in the Underwriting Agreement and certificates and oral or written statements and other information of or from public officials, officers or representatives of the Company and its subsidiaries and others. With your permission, all assumptions and statements of reliance herein have been made without any independent investigation or verification on our part, and we express no opinion with respect to the subject matter or accuracy of such assumptions or items relied upon. </w:t>
      </w:r>
    </w:p>
    <w:p>
      <w:pPr>
        <w:pStyle w:val="TextBody"/>
        <w:bidi w:val="0"/>
        <w:spacing w:before="240" w:after="0"/>
        <w:jc w:val="left"/>
        <w:rPr>
          <w:rFonts w:ascii="Times New Roman" w:hAnsi="Times New Roman"/>
          <w:sz w:val="20"/>
        </w:rPr>
      </w:pPr>
      <w:r>
        <w:rPr>
          <w:rFonts w:ascii="Times New Roman" w:hAnsi="Times New Roman"/>
          <w:sz w:val="20"/>
        </w:rPr>
        <w:t xml:space="preserve">To the extent it may be relevant to the opinion expressed herein, we have assumed that (i) the Notes have been duly authenticated and delivered by the Trustee in accordance with the terms of the Indenture against payment therefor in accordance with the terms of the Underwriting Agreement; (ii) all of the parties to the Notes Documents are validly existing and in good standing under the laws of their respective jurisdictions of organization and have the power and authority to (a) execute and deliver the Notes Documents, (b) perform their obligations thereunder and (c) consummate the transactions contemplated thereby, (iii) each of the Notes Documents has been duly authorized, executed and delivered by all of the parties thereto, the execution thereof does not violate the charter, the bylaws or any other organizational document of any such parties or the laws of the jurisdiction of incorporation or formation of any such parties, and each of the Notes Documents constitutes a valid and binding obligation of all the parties thereto enforceable against such parties in accordance with their respective terms (other than as expressly addressed in the opinion below as to the Company); and (iv) all of the parties to the Notes Documents will comply with all of their covenants, agreements and obligations under the Notes Documents and all laws applicable thereto.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foregoing, and subject to the limitations, qualifications and assumptions set forth herein, we are of the opinion that the Notes constitute valid and binding obligations of the Company, enforceable against the Company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The opinion set forth above is subject to the following qualifications: </w:t>
      </w:r>
    </w:p>
    <w:p>
      <w:pPr>
        <w:pStyle w:val="TextBody"/>
        <w:bidi w:val="0"/>
        <w:spacing w:before="120" w:after="0"/>
        <w:jc w:val="left"/>
        <w:rPr>
          <w:rFonts w:ascii="Times New Roman" w:hAnsi="Times New Roman"/>
          <w:sz w:val="20"/>
        </w:rPr>
      </w:pPr>
      <w:r>
        <w:rPr>
          <w:rFonts w:ascii="Times New Roman" w:hAnsi="Times New Roman"/>
          <w:sz w:val="20"/>
        </w:rPr>
        <w:t xml:space="preserve">A. We express no opinion as to the validity, binding effect or enforceability of any provision of the Notes Documents: </w:t>
      </w:r>
    </w:p>
    <w:p>
      <w:pPr>
        <w:pStyle w:val="TextBody"/>
        <w:bidi w:val="0"/>
        <w:spacing w:before="120" w:after="0"/>
        <w:jc w:val="left"/>
        <w:rPr>
          <w:rFonts w:ascii="Times New Roman" w:hAnsi="Times New Roman"/>
          <w:sz w:val="20"/>
        </w:rPr>
      </w:pPr>
      <w:r>
        <w:rPr>
          <w:rFonts w:ascii="Times New Roman" w:hAnsi="Times New Roman"/>
          <w:sz w:val="20"/>
        </w:rPr>
        <w:t xml:space="preserve">(i) relating to indemnification, contribution or exculpation;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FRIED, FRANK, HARRIS, SHRIVER &amp; JACOBSON LLP </w:t>
      </w:r>
    </w:p>
    <w:p>
      <w:pPr>
        <w:pStyle w:val="TextBody"/>
        <w:bidi w:val="0"/>
        <w:spacing w:before="240" w:after="0"/>
        <w:jc w:val="right"/>
        <w:rPr>
          <w:rFonts w:ascii="Times New Roman" w:hAnsi="Times New Roman"/>
          <w:sz w:val="20"/>
        </w:rPr>
      </w:pPr>
      <w:r>
        <w:rPr>
          <w:rFonts w:ascii="Times New Roman" w:hAnsi="Times New Roman"/>
          <w:sz w:val="20"/>
        </w:rPr>
        <w:t xml:space="preserve">August 17, 2026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(ii) containing any purported waiver, release, variation, disclaimer, consent or other agreement of similar effect (all of the foregoing, collectively, a “</w:t>
      </w:r>
      <w:r>
        <w:rPr>
          <w:rFonts w:ascii="Times New Roman" w:hAnsi="Times New Roman"/>
          <w:sz w:val="20"/>
          <w:u w:val="single"/>
        </w:rPr>
        <w:t>Waiver</w:t>
      </w:r>
      <w:r>
        <w:rPr>
          <w:rFonts w:ascii="Times New Roman" w:hAnsi="Times New Roman"/>
          <w:sz w:val="20"/>
        </w:rPr>
        <w:t xml:space="preserve">”) by the Company under any of such Notes Documents to the extent limited by provisions of applicable law (including judicial decisions), or to the extent that such a Waiver applies to a right, claim, duty, defense or ground for discharge otherwise existing or occurring as a matter of law (including judicial decisions), except to the extent that such a Waiver is effective under, and is not prohibited by or void or invalid under, provisions of applicable law (including judicial decisions); </w:t>
      </w:r>
    </w:p>
    <w:p>
      <w:pPr>
        <w:pStyle w:val="TextBody"/>
        <w:bidi w:val="0"/>
        <w:spacing w:before="120" w:after="0"/>
        <w:jc w:val="left"/>
        <w:rPr>
          <w:rFonts w:ascii="Times New Roman" w:hAnsi="Times New Roman"/>
          <w:sz w:val="20"/>
        </w:rPr>
      </w:pPr>
      <w:r>
        <w:rPr>
          <w:rFonts w:ascii="Times New Roman" w:hAnsi="Times New Roman"/>
          <w:sz w:val="20"/>
        </w:rPr>
        <w:t xml:space="preserve">(iii) related to (a) forum selection or submission to jurisdiction (including, without limitation, any waiver of any objection to venue in any court or of any objection that a court is an inconvenient forum) to the extent that the validity, binding effect or enforceability of such provision is to be considered by any court other than a court of the State of New York, (b) choice of governing law to the extent the validity, binding effect or enforceability of any such provision is to be considered by any court other than a court of the State of New York or a federal district court sitting in the State of New York, in each case, applying the choice of law rules of the State of New York, (c) service of process, or (d) waivers of any rights to trial by jury; </w:t>
      </w:r>
    </w:p>
    <w:p>
      <w:pPr>
        <w:pStyle w:val="TextBody"/>
        <w:bidi w:val="0"/>
        <w:spacing w:before="120" w:after="0"/>
        <w:jc w:val="left"/>
        <w:rPr>
          <w:rFonts w:ascii="Times New Roman" w:hAnsi="Times New Roman"/>
          <w:sz w:val="20"/>
        </w:rPr>
      </w:pPr>
      <w:r>
        <w:rPr>
          <w:rFonts w:ascii="Times New Roman" w:hAnsi="Times New Roman"/>
          <w:sz w:val="20"/>
        </w:rPr>
        <w:t xml:space="preserve">(iv) specifying that provisions thereof may be modified or waived only in writing; </w:t>
      </w:r>
    </w:p>
    <w:p>
      <w:pPr>
        <w:pStyle w:val="TextBody"/>
        <w:bidi w:val="0"/>
        <w:spacing w:before="120" w:after="0"/>
        <w:jc w:val="left"/>
        <w:rPr>
          <w:rFonts w:ascii="Times New Roman" w:hAnsi="Times New Roman"/>
          <w:sz w:val="20"/>
        </w:rPr>
      </w:pPr>
      <w:r>
        <w:rPr>
          <w:rFonts w:ascii="Times New Roman" w:hAnsi="Times New Roman"/>
          <w:sz w:val="20"/>
        </w:rPr>
        <w:t xml:space="preserve">(v) purporting to give any person or entity the power to accelerate obligations without notice to the obligor; </w:t>
      </w:r>
    </w:p>
    <w:p>
      <w:pPr>
        <w:pStyle w:val="TextBody"/>
        <w:bidi w:val="0"/>
        <w:spacing w:before="120" w:after="0"/>
        <w:jc w:val="left"/>
        <w:rPr>
          <w:rFonts w:ascii="Times New Roman" w:hAnsi="Times New Roman"/>
          <w:sz w:val="20"/>
        </w:rPr>
      </w:pPr>
      <w:r>
        <w:rPr>
          <w:rFonts w:ascii="Times New Roman" w:hAnsi="Times New Roman"/>
          <w:sz w:val="20"/>
        </w:rPr>
        <w:t xml:space="preserve">(vi) relating to payment of late charges, interest (or discount or equivalent amounts), premium, “make-whole” payments, collection costs or fees at a rate or in an amount, after or upon the maturity or acceleration of the liabilities evidenced or secured thereby or after or during the continuance of any default or other circumstance, or upon prepayment, that a court would determine in the circumstances to be unreasonable, a penalty or forfeiture; or </w:t>
      </w:r>
    </w:p>
    <w:p>
      <w:pPr>
        <w:pStyle w:val="TextBody"/>
        <w:bidi w:val="0"/>
        <w:spacing w:before="120" w:after="0"/>
        <w:jc w:val="left"/>
        <w:rPr>
          <w:rFonts w:ascii="Times New Roman" w:hAnsi="Times New Roman"/>
          <w:sz w:val="20"/>
        </w:rPr>
      </w:pPr>
      <w:r>
        <w:rPr>
          <w:rFonts w:ascii="Times New Roman" w:hAnsi="Times New Roman"/>
          <w:sz w:val="20"/>
        </w:rPr>
        <w:t xml:space="preserve">(vii) that purports to create a trust, power of attorney or other fiduciary relationship. </w:t>
      </w:r>
    </w:p>
    <w:p>
      <w:pPr>
        <w:pStyle w:val="TextBody"/>
        <w:bidi w:val="0"/>
        <w:spacing w:before="240" w:after="0"/>
        <w:jc w:val="left"/>
        <w:rPr>
          <w:rFonts w:ascii="Times New Roman" w:hAnsi="Times New Roman"/>
          <w:sz w:val="20"/>
        </w:rPr>
      </w:pPr>
      <w:r>
        <w:rPr>
          <w:rFonts w:ascii="Times New Roman" w:hAnsi="Times New Roman"/>
          <w:sz w:val="20"/>
        </w:rPr>
        <w:t xml:space="preserve">B. We express no opinion as to the effect of any law of any jurisdiction other than the State of New York wherein any party to the Notes Documents may be located or wherein enforcement of any Notes Documents may be sought that limits the rates or interest legally chargeable or collectible. </w:t>
      </w:r>
    </w:p>
    <w:p>
      <w:pPr>
        <w:pStyle w:val="TextBody"/>
        <w:bidi w:val="0"/>
        <w:spacing w:before="240" w:after="0"/>
        <w:jc w:val="left"/>
        <w:rPr>
          <w:rFonts w:ascii="Times New Roman" w:hAnsi="Times New Roman"/>
          <w:sz w:val="20"/>
        </w:rPr>
      </w:pPr>
      <w:r>
        <w:rPr>
          <w:rFonts w:ascii="Times New Roman" w:hAnsi="Times New Roman"/>
          <w:sz w:val="20"/>
        </w:rPr>
        <w:t xml:space="preserve">C. Our opinion set forth above is subject to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bankruptcy, insolvency, reorganization, moratorium and other laws (or related judicial doctrines) now or hereafter in effect relating to or affecting creditors’ rights or remedies generally; </w:t>
      </w:r>
    </w:p>
    <w:p>
      <w:pPr>
        <w:pStyle w:val="TextBody"/>
        <w:bidi w:val="0"/>
        <w:spacing w:before="120" w:after="0"/>
        <w:jc w:val="left"/>
        <w:rPr>
          <w:rFonts w:ascii="Times New Roman" w:hAnsi="Times New Roman"/>
          <w:sz w:val="20"/>
        </w:rPr>
      </w:pPr>
      <w:r>
        <w:rPr>
          <w:rFonts w:ascii="Times New Roman" w:hAnsi="Times New Roman"/>
          <w:sz w:val="20"/>
        </w:rPr>
        <w:t xml:space="preserve">(ii) general principles of equity (including, without limitation, standards of materiality, good faith, fair dealing and reasonableness, equitable defenses and limits as to the availability of equitable remedies) whether such principles are considered in a proceeding in equity or at law;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FRIED, FRANK, HARRIS, SHRIVER &amp; JACOBSON LLP </w:t>
      </w:r>
    </w:p>
    <w:p>
      <w:pPr>
        <w:pStyle w:val="TextBody"/>
        <w:bidi w:val="0"/>
        <w:spacing w:before="240" w:after="0"/>
        <w:jc w:val="right"/>
        <w:rPr>
          <w:rFonts w:ascii="Times New Roman" w:hAnsi="Times New Roman"/>
          <w:sz w:val="20"/>
        </w:rPr>
      </w:pPr>
      <w:r>
        <w:rPr>
          <w:rFonts w:ascii="Times New Roman" w:hAnsi="Times New Roman"/>
          <w:sz w:val="20"/>
        </w:rPr>
        <w:t xml:space="preserve">August 17, 2026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(iii) the application of any applicable fraudulent conveyance, fraudulent transfer, fraudulent obligation, or preferential transfer law or any law governing the distribution of assets of any person now or hereafter in effect affecting creditors’ rights and remedies generally. </w:t>
      </w:r>
    </w:p>
    <w:p>
      <w:pPr>
        <w:pStyle w:val="TextBody"/>
        <w:bidi w:val="0"/>
        <w:spacing w:before="240" w:after="0"/>
        <w:jc w:val="left"/>
        <w:rPr>
          <w:rFonts w:ascii="Times New Roman" w:hAnsi="Times New Roman"/>
          <w:sz w:val="20"/>
        </w:rPr>
      </w:pPr>
      <w:r>
        <w:rPr>
          <w:rFonts w:ascii="Times New Roman" w:hAnsi="Times New Roman"/>
          <w:sz w:val="20"/>
        </w:rPr>
        <w:t xml:space="preserve">The opinion expressed herein is limited to the laws of the State of New York, as currently in effect, and no opinion is expressed with respect to any other laws or any effect that such other laws may have on the opinion expressed herein. The opinion expressed herein is limited to the matters stated herein, and no opinion is implied or may be inferred beyond the matters expressly stated herein. This letter is given only as of the time of its delivery, and we undertake no responsibility to update or supplement this letter after its delivery.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as an exhibit to the report on Form 8-K filed by the Company on the date hereof and its incorporation by reference into the Registration Statement and to references to this firm under the caption “Legal Matters” in the Registration Statement and prospectus supplements related to the Notes. In giving this consent, we do not hereby admit that we are in the category of persons whose consent is required under Section 7 of the Securities Act or the rules and regulations of the Commission.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b/>
              </w:rPr>
              <w:t xml:space="preserve">/s/ </w:t>
            </w:r>
            <w:r>
              <w:rPr/>
              <w:t>Fried, Frank, Harris, Shriver &amp; Jacobson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FRIED, FRANK, HARRIS, SHRIVER &amp; JACOBSON LLP</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p>
      <w:pPr>
        <w:pStyle w:val="TextBody"/>
        <w:bidi w:val="0"/>
        <w:spacing w:before="0" w:after="0"/>
        <w:jc w:val="right"/>
        <w:rPr>
          <w:rFonts w:ascii="Times New Roman" w:hAnsi="Times New Roman"/>
          <w:b/>
          <w:sz w:val="20"/>
        </w:rPr>
      </w:pPr>
      <w:bookmarkStart w:id="6" w:name="d299977dex52.htm"/>
      <w:bookmarkStart w:id="7" w:name="ksd299977dex52"/>
      <w:bookmarkEnd w:id="6"/>
      <w:bookmarkEnd w:id="7"/>
      <w:r>
        <w:rPr>
          <w:rFonts w:ascii="Times New Roman" w:hAnsi="Times New Roman"/>
          <w:b/>
          <w:sz w:val="20"/>
        </w:rPr>
        <w:t xml:space="preserve">Exhibit 5.2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2329180" cy="40703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
                    <a:stretch>
                      <a:fillRect/>
                    </a:stretch>
                  </pic:blipFill>
                  <pic:spPr bwMode="auto">
                    <a:xfrm>
                      <a:off x="0" y="0"/>
                      <a:ext cx="2329180" cy="40703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701 Brickell Avenue, Suite 3300 | Miami, FL 33131 | T 305.374.8500 | F 305.789.7799 </w:t>
      </w:r>
    </w:p>
    <w:p>
      <w:pPr>
        <w:pStyle w:val="TextBody"/>
        <w:bidi w:val="0"/>
        <w:spacing w:before="0" w:after="0"/>
        <w:jc w:val="left"/>
        <w:rPr>
          <w:rFonts w:ascii="Times New Roman" w:hAnsi="Times New Roman"/>
          <w:sz w:val="20"/>
        </w:rPr>
      </w:pPr>
      <w:r>
        <w:rPr>
          <w:rFonts w:ascii="Times New Roman" w:hAnsi="Times New Roman"/>
          <w:sz w:val="20"/>
        </w:rPr>
        <w:t xml:space="preserve">Holland &amp; Knight LLP | </w:t>
      </w:r>
      <w:r>
        <w:rPr>
          <w:rFonts w:ascii="Times New Roman" w:hAnsi="Times New Roman"/>
          <w:sz w:val="20"/>
          <w:u w:val="single"/>
        </w:rPr>
        <w:t>www.hklaw.com</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August 17, 2026 </w:t>
      </w:r>
    </w:p>
    <w:p>
      <w:pPr>
        <w:pStyle w:val="TextBody"/>
        <w:bidi w:val="0"/>
        <w:spacing w:before="240" w:after="0"/>
        <w:jc w:val="left"/>
        <w:rPr>
          <w:rFonts w:ascii="Times New Roman" w:hAnsi="Times New Roman"/>
          <w:sz w:val="20"/>
        </w:rPr>
      </w:pPr>
      <w:r>
        <w:rPr>
          <w:rFonts w:ascii="Times New Roman" w:hAnsi="Times New Roman"/>
          <w:sz w:val="20"/>
        </w:rPr>
        <w:t xml:space="preserve">MasTec, Inc. </w:t>
      </w:r>
    </w:p>
    <w:p>
      <w:pPr>
        <w:pStyle w:val="TextBody"/>
        <w:bidi w:val="0"/>
        <w:spacing w:before="0" w:after="0"/>
        <w:jc w:val="left"/>
        <w:rPr>
          <w:rFonts w:ascii="Times New Roman" w:hAnsi="Times New Roman"/>
          <w:sz w:val="20"/>
        </w:rPr>
      </w:pPr>
      <w:r>
        <w:rPr>
          <w:rFonts w:ascii="Times New Roman" w:hAnsi="Times New Roman"/>
          <w:sz w:val="20"/>
        </w:rPr>
        <w:t xml:space="preserve">800 South Douglas Road </w:t>
      </w:r>
    </w:p>
    <w:p>
      <w:pPr>
        <w:pStyle w:val="TextBody"/>
        <w:bidi w:val="0"/>
        <w:spacing w:before="0" w:after="0"/>
        <w:jc w:val="left"/>
        <w:rPr>
          <w:rFonts w:ascii="Times New Roman" w:hAnsi="Times New Roman"/>
          <w:sz w:val="20"/>
        </w:rPr>
      </w:pPr>
      <w:r>
        <w:rPr>
          <w:rFonts w:ascii="Times New Roman" w:hAnsi="Times New Roman"/>
          <w:sz w:val="20"/>
        </w:rPr>
        <w:t xml:space="preserve">12th Floor </w:t>
      </w:r>
    </w:p>
    <w:p>
      <w:pPr>
        <w:pStyle w:val="TextBody"/>
        <w:bidi w:val="0"/>
        <w:spacing w:before="0" w:after="0"/>
        <w:jc w:val="left"/>
        <w:rPr>
          <w:rFonts w:ascii="Times New Roman" w:hAnsi="Times New Roman"/>
          <w:sz w:val="20"/>
        </w:rPr>
      </w:pPr>
      <w:r>
        <w:rPr>
          <w:rFonts w:ascii="Times New Roman" w:hAnsi="Times New Roman"/>
          <w:sz w:val="20"/>
        </w:rPr>
        <w:t xml:space="preserve">Coral Gables, Florida 33134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Re: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Registration Statement on Form S-3 (File No. 333-285425)</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counsel to MasTec, Inc., a Florida corporation (the “</w:t>
      </w:r>
      <w:r>
        <w:rPr>
          <w:rFonts w:ascii="Times New Roman" w:hAnsi="Times New Roman"/>
          <w:sz w:val="20"/>
          <w:u w:val="single"/>
        </w:rPr>
        <w:t>Company</w:t>
      </w:r>
      <w:r>
        <w:rPr>
          <w:rFonts w:ascii="Times New Roman" w:hAnsi="Times New Roman"/>
          <w:sz w:val="20"/>
        </w:rPr>
        <w:t>”), in connection with the prospectus, dated February 28, 2025 (the “</w:t>
      </w:r>
      <w:r>
        <w:rPr>
          <w:rFonts w:ascii="Times New Roman" w:hAnsi="Times New Roman"/>
          <w:sz w:val="20"/>
          <w:u w:val="single"/>
        </w:rPr>
        <w:t>Base Prospectus</w:t>
      </w:r>
      <w:r>
        <w:rPr>
          <w:rFonts w:ascii="Times New Roman" w:hAnsi="Times New Roman"/>
          <w:sz w:val="20"/>
        </w:rPr>
        <w:t>”), as supplemented by the prospectus supplement, dated August 6, 2026 (the “</w:t>
      </w:r>
      <w:r>
        <w:rPr>
          <w:rFonts w:ascii="Times New Roman" w:hAnsi="Times New Roman"/>
          <w:sz w:val="20"/>
          <w:u w:val="single"/>
        </w:rPr>
        <w:t>Prospectus Supplement</w:t>
      </w:r>
      <w:r>
        <w:rPr>
          <w:rFonts w:ascii="Times New Roman" w:hAnsi="Times New Roman"/>
          <w:sz w:val="20"/>
        </w:rPr>
        <w:t>” and, together with the Base Prospectus, the “</w:t>
      </w:r>
      <w:r>
        <w:rPr>
          <w:rFonts w:ascii="Times New Roman" w:hAnsi="Times New Roman"/>
          <w:sz w:val="20"/>
          <w:u w:val="single"/>
        </w:rPr>
        <w:t>Prospectus</w:t>
      </w:r>
      <w:r>
        <w:rPr>
          <w:rFonts w:ascii="Times New Roman" w:hAnsi="Times New Roman"/>
          <w:sz w:val="20"/>
        </w:rPr>
        <w:t>”), relating to the above-referenced registration statement (the “</w:t>
      </w:r>
      <w:r>
        <w:rPr>
          <w:rFonts w:ascii="Times New Roman" w:hAnsi="Times New Roman"/>
          <w:sz w:val="20"/>
          <w:u w:val="single"/>
        </w:rPr>
        <w:t>Registration Statement</w:t>
      </w:r>
      <w:r>
        <w:rPr>
          <w:rFonts w:ascii="Times New Roman" w:hAnsi="Times New Roman"/>
          <w:sz w:val="20"/>
        </w:rPr>
        <w:t>”) filed with the Securities and Exchange Commission (the “</w:t>
      </w:r>
      <w:r>
        <w:rPr>
          <w:rFonts w:ascii="Times New Roman" w:hAnsi="Times New Roman"/>
          <w:sz w:val="20"/>
          <w:u w:val="single"/>
        </w:rPr>
        <w:t>Commission</w:t>
      </w:r>
      <w:r>
        <w:rPr>
          <w:rFonts w:ascii="Times New Roman" w:hAnsi="Times New Roman"/>
          <w:sz w:val="20"/>
        </w:rPr>
        <w:t>”) under the Securities Act of 1933, as amended (the “</w:t>
      </w:r>
      <w:r>
        <w:rPr>
          <w:rFonts w:ascii="Times New Roman" w:hAnsi="Times New Roman"/>
          <w:sz w:val="20"/>
          <w:u w:val="single"/>
        </w:rPr>
        <w:t>Securities Act</w:t>
      </w:r>
      <w:r>
        <w:rPr>
          <w:rFonts w:ascii="Times New Roman" w:hAnsi="Times New Roman"/>
          <w:sz w:val="20"/>
        </w:rPr>
        <w:t>”), on February 28, 2025 (File No. 333-285425) and the offer and sale of $650,000,000 in aggregate principal amount of the Company’s 5.850% Senior Notes due 2036 (the “</w:t>
      </w:r>
      <w:r>
        <w:rPr>
          <w:rFonts w:ascii="Times New Roman" w:hAnsi="Times New Roman"/>
          <w:sz w:val="20"/>
          <w:u w:val="single"/>
        </w:rPr>
        <w:t>Notes</w:t>
      </w:r>
      <w:r>
        <w:rPr>
          <w:rFonts w:ascii="Times New Roman" w:hAnsi="Times New Roman"/>
          <w:sz w:val="20"/>
        </w:rPr>
        <w:t>”), in each case to be issued pursuant to the Base Indenture, dated as of June 5, 2009 (the “</w:t>
      </w:r>
      <w:r>
        <w:rPr>
          <w:rFonts w:ascii="Times New Roman" w:hAnsi="Times New Roman"/>
          <w:sz w:val="20"/>
          <w:u w:val="single"/>
        </w:rPr>
        <w:t>Base Indenture</w:t>
      </w:r>
      <w:r>
        <w:rPr>
          <w:rFonts w:ascii="Times New Roman" w:hAnsi="Times New Roman"/>
          <w:sz w:val="20"/>
        </w:rPr>
        <w:t>”), and the Twenty-Second Supplemental Indenture, dated as of August 17, 2026 (the “</w:t>
      </w:r>
      <w:r>
        <w:rPr>
          <w:rFonts w:ascii="Times New Roman" w:hAnsi="Times New Roman"/>
          <w:sz w:val="20"/>
          <w:u w:val="single"/>
        </w:rPr>
        <w:t>Supplemental Indenture</w:t>
      </w:r>
      <w:r>
        <w:rPr>
          <w:rFonts w:ascii="Times New Roman" w:hAnsi="Times New Roman"/>
          <w:sz w:val="20"/>
        </w:rPr>
        <w:t>” and, together with the Base Indenture, the “</w:t>
      </w:r>
      <w:r>
        <w:rPr>
          <w:rFonts w:ascii="Times New Roman" w:hAnsi="Times New Roman"/>
          <w:sz w:val="20"/>
          <w:u w:val="single"/>
        </w:rPr>
        <w:t>Indenture</w:t>
      </w:r>
      <w:r>
        <w:rPr>
          <w:rFonts w:ascii="Times New Roman" w:hAnsi="Times New Roman"/>
          <w:sz w:val="20"/>
        </w:rPr>
        <w:t xml:space="preserve">”), to each of which the Company and U.S. Bank Trust Company, National Association (as successor in interest to U.S. Bank National Association), as trustee, are parties. </w:t>
      </w:r>
    </w:p>
    <w:p>
      <w:pPr>
        <w:pStyle w:val="TextBody"/>
        <w:bidi w:val="0"/>
        <w:spacing w:before="240" w:after="0"/>
        <w:jc w:val="left"/>
        <w:rPr>
          <w:rFonts w:ascii="Times New Roman" w:hAnsi="Times New Roman"/>
          <w:sz w:val="20"/>
        </w:rPr>
      </w:pPr>
      <w:r>
        <w:rPr>
          <w:rFonts w:ascii="Times New Roman" w:hAnsi="Times New Roman"/>
          <w:sz w:val="20"/>
        </w:rPr>
        <w:t>In connection with our representation of the Company and the preparation of this opinion letter, we have examined, considered and relied upon the following documents (collectively, the “</w:t>
      </w:r>
      <w:r>
        <w:rPr>
          <w:rFonts w:ascii="Times New Roman" w:hAnsi="Times New Roman"/>
          <w:sz w:val="20"/>
          <w:u w:val="single"/>
        </w:rPr>
        <w:t>Documents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Underwriting Agreement, dated August 6, 2026 (the “</w:t>
            </w:r>
            <w:r>
              <w:rPr>
                <w:rFonts w:ascii="Times New Roman" w:hAnsi="Times New Roman"/>
                <w:sz w:val="20"/>
                <w:u w:val="single"/>
              </w:rPr>
              <w:t>Underwriting Agreement</w:t>
            </w:r>
            <w:r>
              <w:rPr>
                <w:rFonts w:ascii="Times New Roman" w:hAnsi="Times New Roman"/>
                <w:sz w:val="20"/>
              </w:rPr>
              <w:t>”), by and among the Company and the several underwriters named in Schedule I thereto (collectively, the “</w:t>
            </w:r>
            <w:r>
              <w:rPr>
                <w:rFonts w:ascii="Times New Roman" w:hAnsi="Times New Roman"/>
                <w:sz w:val="20"/>
                <w:u w:val="single"/>
              </w:rPr>
              <w:t>Underwriters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Statement and the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7"/>
        <w:gridCol w:w="9291"/>
      </w:tblGrid>
      <w:tr>
        <w:trPr/>
        <w:tc>
          <w:tcPr>
            <w:tcW w:w="407"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Articles of Incorporation, as amended, as filed with the Department of State of the State of Florida;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Amended and Restated Bylaws,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7"/>
        <w:gridCol w:w="9291"/>
      </w:tblGrid>
      <w:tr>
        <w:trPr/>
        <w:tc>
          <w:tcPr>
            <w:tcW w:w="407"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6.</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resolutions adopted by the Board of Directors of the Company in respect of the authorization and issuance of the Notes, certified as of the date hereof by an officer of the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other documents and matters of law as we have considered necessary or appropriate for the expression of the opinions contained herein.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rendering the opinions set forth below, we have assumed without investigation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genuineness of all signatures and the authenticity of all Documents submitted to us as originals, the conformity to authentic original documents of all Documents submitted to us as copies and the veracity of the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individual executing any of the Documents, whether on behalf of such individual or another person, is legally competent to do so;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1"/>
        <w:gridCol w:w="9289"/>
      </w:tblGrid>
      <w:tr>
        <w:trPr/>
        <w:tc>
          <w:tcPr>
            <w:tcW w:w="405"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the parties (other than the Company) executing any of the Documents has duly and validly executed and delivered each of the Documents to which such party is a signatory, and the obligations of each party set forth therein are legal, valid and binding and are enforceable in accordance with all stated terms.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Additionally, as to questions of fact in respect of the opinion hereinafter expressed, we have relied solely upon the Documents.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Based upon the foregoing, and subject to the qualifications, assumptions and limitations set forth herein, we are of the opinion that the Notes have been legally issued. </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is limited to the matters stated herein, and no opinions may be implied or inferred beyond the matters expressly stated herein. We express no opinion as to the enforceability of the Notes nor should any such opinion be inferred. The opinions expressed herein are as of the date hereof, and we assume no obligation to update or supplement such opinions to reflect any facts or circumstances that may hereafter come to our attention or any changes in law that may hereafter occur. </w:t>
      </w:r>
    </w:p>
    <w:p>
      <w:pPr>
        <w:pStyle w:val="TextBody"/>
        <w:bidi w:val="0"/>
        <w:spacing w:before="240" w:after="0"/>
        <w:jc w:val="left"/>
        <w:rPr>
          <w:rFonts w:ascii="Times New Roman" w:hAnsi="Times New Roman"/>
          <w:sz w:val="20"/>
        </w:rPr>
      </w:pPr>
      <w:r>
        <w:rPr>
          <w:rFonts w:ascii="Times New Roman" w:hAnsi="Times New Roman"/>
          <w:sz w:val="20"/>
        </w:rPr>
        <w:t xml:space="preserve">We do not express any opinion herein concerning any law other than the laws of the State of Florida and the federal laws of the United States. </w:t>
      </w:r>
    </w:p>
    <w:p>
      <w:pPr>
        <w:pStyle w:val="TextBody"/>
        <w:bidi w:val="0"/>
        <w:spacing w:before="240" w:after="0"/>
        <w:jc w:val="left"/>
        <w:rPr>
          <w:rFonts w:ascii="Times New Roman" w:hAnsi="Times New Roman"/>
          <w:sz w:val="20"/>
        </w:rPr>
      </w:pPr>
      <w:r>
        <w:rPr>
          <w:rFonts w:ascii="Times New Roman" w:hAnsi="Times New Roman"/>
          <w:sz w:val="20"/>
        </w:rPr>
        <w:t>This opinion is being furnished to you for submission to the Commission as an exhibit to the Company’s Current Report on Form 8-K relating to the issuance of the Notes (the “</w:t>
      </w:r>
      <w:r>
        <w:rPr>
          <w:rFonts w:ascii="Times New Roman" w:hAnsi="Times New Roman"/>
          <w:sz w:val="20"/>
          <w:u w:val="single"/>
        </w:rPr>
        <w:t>Current Report</w:t>
      </w:r>
      <w:r>
        <w:rPr>
          <w:rFonts w:ascii="Times New Roman" w:hAnsi="Times New Roman"/>
          <w:sz w:val="20"/>
        </w:rPr>
        <w:t xml:space="preserve">”), which is incorporated by reference in the Registration Statement. We hereby consent to the filing of this opinion as an exhibit to the Current Report and such incorporation by reference into the Registration Statement, of which the Prospectus Supplement forms a part, and to the use of the name of our firm therein. In giving this consent, we do not admit that we are within the category of persons whose consent is required by Section 7 of the Securities Act.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HOLLAND &amp; KNIGHT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HOLLAND &amp; KNIGHT LLP</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5615/000119312509126293/d8k.htm" TargetMode="External"/><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79</Pages>
  <Words>31903</Words>
  <Characters>162841</Characters>
  <CharactersWithSpaces>195323</CharactersWithSpaces>
  <Paragraphs>1836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EX-5.2</dc:title>
</cp:coreProperties>
</file>